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537" w:type="dxa"/>
        <w:jc w:val="center"/>
        <w:tblLayout w:type="fixed"/>
        <w:tblLook w:val="04A0" w:firstRow="1" w:lastRow="0" w:firstColumn="1" w:lastColumn="0" w:noHBand="0" w:noVBand="1"/>
      </w:tblPr>
      <w:tblGrid>
        <w:gridCol w:w="1800"/>
        <w:gridCol w:w="792"/>
        <w:gridCol w:w="5112"/>
        <w:gridCol w:w="7833"/>
      </w:tblGrid>
      <w:tr w:rsidR="00F73E68" w14:paraId="7787E0CE" w14:textId="77777777">
        <w:trPr>
          <w:trHeight w:val="65"/>
          <w:tblHeader/>
          <w:jc w:val="center"/>
        </w:trPr>
        <w:tc>
          <w:tcPr>
            <w:tcW w:w="1800" w:type="dxa"/>
            <w:tcBorders>
              <w:top w:val="single" w:sz="6" w:space="0" w:color="6F6F6F"/>
              <w:left w:val="single" w:sz="6" w:space="0" w:color="6F6F6F"/>
              <w:bottom w:val="single" w:sz="6" w:space="0" w:color="6F6F6F"/>
              <w:right w:val="single" w:sz="6" w:space="0" w:color="6F6F6F"/>
            </w:tcBorders>
            <w:shd w:val="clear" w:color="auto" w:fill="D9D9D9"/>
            <w:tcMar>
              <w:top w:w="100" w:type="dxa"/>
              <w:left w:w="130" w:type="dxa"/>
              <w:bottom w:w="100" w:type="dxa"/>
              <w:right w:w="130" w:type="dxa"/>
            </w:tcMar>
          </w:tcPr>
          <w:p w14:paraId="74C07A6F" w14:textId="77777777" w:rsidR="00F73E68" w:rsidRDefault="00000000">
            <w:pPr>
              <w:pStyle w:val="Default"/>
              <w:spacing w:after="50" w:line="259" w:lineRule="auto"/>
              <w:jc w:val="center"/>
              <w:rPr>
                <w:rFonts w:ascii="Arial" w:hAnsi="Arial" w:cs="Arial"/>
                <w:color w:val="FFFFFF"/>
                <w:sz w:val="18"/>
                <w:szCs w:val="18"/>
              </w:rPr>
            </w:pPr>
            <w:r>
              <w:rPr>
                <w:rFonts w:ascii="Arial" w:hAnsi="Arial" w:cs="Arial"/>
                <w:b/>
                <w:bCs/>
                <w:sz w:val="18"/>
                <w:szCs w:val="18"/>
              </w:rPr>
              <w:t xml:space="preserve">Section and Topic </w:t>
            </w:r>
          </w:p>
        </w:tc>
        <w:tc>
          <w:tcPr>
            <w:tcW w:w="792" w:type="dxa"/>
            <w:tcBorders>
              <w:top w:val="single" w:sz="6" w:space="0" w:color="6F6F6F"/>
              <w:left w:val="single" w:sz="6" w:space="0" w:color="6F6F6F"/>
              <w:bottom w:val="single" w:sz="6" w:space="0" w:color="6F6F6F"/>
              <w:right w:val="single" w:sz="6" w:space="0" w:color="6F6F6F"/>
            </w:tcBorders>
            <w:shd w:val="clear" w:color="auto" w:fill="D9D9D9"/>
            <w:tcMar>
              <w:top w:w="100" w:type="dxa"/>
              <w:left w:w="130" w:type="dxa"/>
              <w:bottom w:w="100" w:type="dxa"/>
              <w:right w:w="130" w:type="dxa"/>
            </w:tcMar>
          </w:tcPr>
          <w:p w14:paraId="1725DBA7" w14:textId="77777777" w:rsidR="00F73E68" w:rsidRDefault="00000000">
            <w:pPr>
              <w:pStyle w:val="Default"/>
              <w:spacing w:after="50" w:line="259" w:lineRule="auto"/>
              <w:jc w:val="center"/>
              <w:rPr>
                <w:rFonts w:ascii="Arial" w:hAnsi="Arial" w:cs="Arial"/>
                <w:b/>
                <w:bCs/>
                <w:color w:val="FFFFFF"/>
                <w:sz w:val="18"/>
                <w:szCs w:val="18"/>
              </w:rPr>
            </w:pPr>
            <w:r>
              <w:rPr>
                <w:rFonts w:ascii="Arial" w:hAnsi="Arial" w:cs="Arial"/>
                <w:b/>
                <w:bCs/>
                <w:sz w:val="18"/>
                <w:szCs w:val="18"/>
              </w:rPr>
              <w:t>Item #</w:t>
            </w:r>
          </w:p>
        </w:tc>
        <w:tc>
          <w:tcPr>
            <w:tcW w:w="5112" w:type="dxa"/>
            <w:tcBorders>
              <w:top w:val="single" w:sz="6" w:space="0" w:color="6F6F6F"/>
              <w:left w:val="single" w:sz="6" w:space="0" w:color="6F6F6F"/>
              <w:bottom w:val="single" w:sz="6" w:space="0" w:color="6F6F6F"/>
              <w:right w:val="single" w:sz="6" w:space="0" w:color="6F6F6F"/>
            </w:tcBorders>
            <w:shd w:val="clear" w:color="auto" w:fill="D9D9D9"/>
            <w:tcMar>
              <w:top w:w="100" w:type="dxa"/>
              <w:left w:w="130" w:type="dxa"/>
              <w:bottom w:w="100" w:type="dxa"/>
              <w:right w:w="130" w:type="dxa"/>
            </w:tcMar>
          </w:tcPr>
          <w:p w14:paraId="22685BBA" w14:textId="77777777" w:rsidR="00F73E68" w:rsidRDefault="00000000">
            <w:pPr>
              <w:pStyle w:val="Default"/>
              <w:spacing w:after="50" w:line="259" w:lineRule="auto"/>
              <w:jc w:val="center"/>
              <w:rPr>
                <w:rFonts w:ascii="Arial" w:hAnsi="Arial" w:cs="Arial"/>
                <w:color w:val="FFFFFF"/>
                <w:sz w:val="18"/>
                <w:szCs w:val="18"/>
              </w:rPr>
            </w:pPr>
            <w:r>
              <w:rPr>
                <w:rFonts w:ascii="Arial" w:hAnsi="Arial" w:cs="Arial"/>
                <w:b/>
                <w:bCs/>
                <w:sz w:val="18"/>
                <w:szCs w:val="18"/>
              </w:rPr>
              <w:t xml:space="preserve">Checklist item </w:t>
            </w:r>
          </w:p>
        </w:tc>
        <w:tc>
          <w:tcPr>
            <w:tcW w:w="7833" w:type="dxa"/>
            <w:tcBorders>
              <w:top w:val="single" w:sz="6" w:space="0" w:color="6F6F6F"/>
              <w:left w:val="single" w:sz="6" w:space="0" w:color="6F6F6F"/>
              <w:bottom w:val="single" w:sz="6" w:space="0" w:color="6F6F6F"/>
              <w:right w:val="single" w:sz="6" w:space="0" w:color="6F6F6F"/>
            </w:tcBorders>
            <w:shd w:val="clear" w:color="auto" w:fill="D9D9D9"/>
            <w:tcMar>
              <w:top w:w="100" w:type="dxa"/>
              <w:left w:w="130" w:type="dxa"/>
              <w:bottom w:w="100" w:type="dxa"/>
              <w:right w:w="130" w:type="dxa"/>
            </w:tcMar>
          </w:tcPr>
          <w:p w14:paraId="1893C20B" w14:textId="77777777" w:rsidR="00F73E68" w:rsidRDefault="00000000">
            <w:pPr>
              <w:pStyle w:val="Default"/>
              <w:spacing w:after="60" w:line="264" w:lineRule="auto"/>
              <w:rPr>
                <w:rFonts w:ascii="Arial" w:hAnsi="Arial" w:cs="Arial"/>
                <w:color w:val="FFFFFF"/>
                <w:sz w:val="18"/>
                <w:szCs w:val="18"/>
              </w:rPr>
            </w:pPr>
            <w:r>
              <w:rPr>
                <w:rFonts w:ascii="Arial" w:hAnsi="Arial" w:cs="Arial"/>
                <w:b/>
                <w:bCs/>
                <w:sz w:val="18"/>
                <w:szCs w:val="18"/>
              </w:rPr>
              <w:t xml:space="preserve">Location where item is reported </w:t>
            </w:r>
          </w:p>
        </w:tc>
      </w:tr>
      <w:tr w:rsidR="00F73E68" w14:paraId="0CD5A90F" w14:textId="77777777">
        <w:trPr>
          <w:trHeight w:val="24"/>
          <w:jc w:val="center"/>
        </w:trPr>
        <w:tc>
          <w:tcPr>
            <w:tcW w:w="5112" w:type="dxa"/>
            <w:gridSpan w:val="3"/>
            <w:tcBorders>
              <w:top w:val="single" w:sz="6" w:space="0" w:color="6F6F6F"/>
              <w:left w:val="single" w:sz="6" w:space="0" w:color="6F6F6F"/>
              <w:bottom w:val="single" w:sz="6" w:space="0" w:color="6F6F6F"/>
              <w:right w:val="single" w:sz="6" w:space="0" w:color="6F6F6F"/>
            </w:tcBorders>
            <w:shd w:val="clear" w:color="auto" w:fill="FFFFCC"/>
            <w:tcMar>
              <w:top w:w="100" w:type="dxa"/>
              <w:left w:w="130" w:type="dxa"/>
              <w:bottom w:w="100" w:type="dxa"/>
              <w:right w:w="130" w:type="dxa"/>
            </w:tcMar>
          </w:tcPr>
          <w:p w14:paraId="32C8439C" w14:textId="77777777" w:rsidR="00F73E68" w:rsidRDefault="00000000">
            <w:pPr>
              <w:pStyle w:val="Default"/>
              <w:spacing w:after="50" w:line="259" w:lineRule="auto"/>
              <w:rPr>
                <w:rFonts w:ascii="Arial" w:hAnsi="Arial" w:cs="Arial"/>
                <w:sz w:val="18"/>
                <w:szCs w:val="18"/>
              </w:rPr>
            </w:pPr>
            <w:r>
              <w:rPr>
                <w:rFonts w:ascii="Arial" w:hAnsi="Arial" w:cs="Arial"/>
                <w:b/>
                <w:bCs/>
                <w:sz w:val="18"/>
                <w:szCs w:val="18"/>
              </w:rPr>
              <w:t xml:space="preserve">TITLE </w:t>
            </w:r>
          </w:p>
        </w:tc>
        <w:tc>
          <w:tcPr>
            <w:tcW w:w="7833" w:type="dxa"/>
            <w:tcBorders>
              <w:top w:val="single" w:sz="6" w:space="0" w:color="6F6F6F"/>
              <w:left w:val="single" w:sz="6" w:space="0" w:color="6F6F6F"/>
              <w:bottom w:val="single" w:sz="6" w:space="0" w:color="6F6F6F"/>
              <w:right w:val="single" w:sz="6" w:space="0" w:color="6F6F6F"/>
            </w:tcBorders>
            <w:shd w:val="clear" w:color="auto" w:fill="FFFFCC"/>
            <w:tcMar>
              <w:top w:w="100" w:type="dxa"/>
              <w:left w:w="130" w:type="dxa"/>
              <w:bottom w:w="100" w:type="dxa"/>
              <w:right w:w="130" w:type="dxa"/>
            </w:tcMar>
          </w:tcPr>
          <w:p w14:paraId="47D68C6A" w14:textId="77777777" w:rsidR="00F73E68" w:rsidRDefault="00F73E68">
            <w:pPr>
              <w:pStyle w:val="Default"/>
              <w:spacing w:after="60" w:line="264" w:lineRule="auto"/>
              <w:rPr>
                <w:rFonts w:ascii="Arial" w:hAnsi="Arial" w:cs="Arial"/>
                <w:color w:val="auto"/>
                <w:sz w:val="18"/>
                <w:szCs w:val="18"/>
              </w:rPr>
            </w:pPr>
          </w:p>
        </w:tc>
      </w:tr>
      <w:tr w:rsidR="00F73E68" w14:paraId="518DA389" w14:textId="77777777">
        <w:trPr>
          <w:trHeight w:val="48"/>
          <w:jc w:val="center"/>
        </w:trPr>
        <w:tc>
          <w:tcPr>
            <w:tcW w:w="1800"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7BC36329"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 xml:space="preserve">Title </w:t>
            </w: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11C01D60"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1</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12339A8F"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Identify the report as a systematic review.</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60BD19A4" w14:textId="5B316A4F" w:rsidR="00F73E68" w:rsidRPr="003B5953" w:rsidRDefault="00000000" w:rsidP="004939EB">
            <w:pPr>
              <w:spacing w:after="80"/>
              <w:rPr>
                <w:rFonts w:ascii="Arial" w:hAnsi="Arial" w:cs="Arial"/>
                <w:b/>
                <w:bCs/>
                <w:sz w:val="18"/>
                <w:szCs w:val="18"/>
                <w:lang w:val="en-US"/>
              </w:rPr>
            </w:pPr>
            <w:r>
              <w:rPr>
                <w:rFonts w:ascii="Arial" w:eastAsia="Arial" w:hAnsi="Arial"/>
                <w:sz w:val="18"/>
              </w:rPr>
              <w:t>Title page/title. The report is identified as a randomized-evidence meta-analysis: "</w:t>
            </w:r>
            <w:bookmarkStart w:id="0" w:name="OLE_LINK4"/>
            <w:r w:rsidR="004939EB" w:rsidRPr="00794F08">
              <w:rPr>
                <w:b/>
                <w:sz w:val="28"/>
              </w:rPr>
              <w:t xml:space="preserve"> </w:t>
            </w:r>
            <w:bookmarkEnd w:id="0"/>
            <w:r w:rsidR="003E5EC5" w:rsidRPr="003E5EC5">
              <w:rPr>
                <w:rFonts w:ascii="Arial" w:hAnsi="Arial" w:cs="Arial"/>
                <w:b/>
                <w:bCs/>
                <w:sz w:val="18"/>
                <w:szCs w:val="18"/>
                <w:lang w:val="en-US"/>
              </w:rPr>
              <w:t>Comparator-dependent evidence for earlier PSMA-targeted radioligand therapy in prostate cancer: a systematic review and meta-analysis of randomized trials</w:t>
            </w:r>
            <w:r w:rsidR="003B5953" w:rsidRPr="003B5953">
              <w:rPr>
                <w:rFonts w:ascii="Arial" w:hAnsi="Arial" w:cs="Arial"/>
                <w:b/>
                <w:bCs/>
                <w:sz w:val="18"/>
                <w:szCs w:val="18"/>
                <w:lang w:val="en-US"/>
              </w:rPr>
              <w:t xml:space="preserve"> </w:t>
            </w:r>
            <w:r>
              <w:rPr>
                <w:rFonts w:ascii="Arial" w:eastAsia="Arial" w:hAnsi="Arial"/>
                <w:sz w:val="18"/>
              </w:rPr>
              <w:t>." The abstract and Methods also identify the report as a systematic review and meta-analysis.</w:t>
            </w:r>
          </w:p>
        </w:tc>
      </w:tr>
      <w:tr w:rsidR="00F73E68" w14:paraId="2FC7D950" w14:textId="77777777">
        <w:trPr>
          <w:trHeight w:val="24"/>
          <w:jc w:val="center"/>
        </w:trPr>
        <w:tc>
          <w:tcPr>
            <w:tcW w:w="5112" w:type="dxa"/>
            <w:gridSpan w:val="3"/>
            <w:tcBorders>
              <w:top w:val="single" w:sz="6" w:space="0" w:color="6F6F6F"/>
              <w:left w:val="single" w:sz="6" w:space="0" w:color="6F6F6F"/>
              <w:bottom w:val="single" w:sz="6" w:space="0" w:color="6F6F6F"/>
              <w:right w:val="single" w:sz="6" w:space="0" w:color="6F6F6F"/>
            </w:tcBorders>
            <w:shd w:val="clear" w:color="auto" w:fill="FFFFCC"/>
            <w:tcMar>
              <w:top w:w="100" w:type="dxa"/>
              <w:left w:w="130" w:type="dxa"/>
              <w:bottom w:w="100" w:type="dxa"/>
              <w:right w:w="130" w:type="dxa"/>
            </w:tcMar>
          </w:tcPr>
          <w:p w14:paraId="41C79B62" w14:textId="77777777" w:rsidR="00F73E68" w:rsidRDefault="00000000">
            <w:pPr>
              <w:pStyle w:val="Default"/>
              <w:spacing w:after="50" w:line="259" w:lineRule="auto"/>
              <w:rPr>
                <w:rFonts w:ascii="Arial" w:hAnsi="Arial" w:cs="Arial"/>
                <w:sz w:val="18"/>
                <w:szCs w:val="18"/>
              </w:rPr>
            </w:pPr>
            <w:r>
              <w:rPr>
                <w:rFonts w:ascii="Arial" w:hAnsi="Arial" w:cs="Arial"/>
                <w:b/>
                <w:bCs/>
                <w:sz w:val="18"/>
                <w:szCs w:val="18"/>
              </w:rPr>
              <w:t xml:space="preserve">ABSTRACT </w:t>
            </w:r>
          </w:p>
        </w:tc>
        <w:tc>
          <w:tcPr>
            <w:tcW w:w="7833" w:type="dxa"/>
            <w:tcBorders>
              <w:top w:val="single" w:sz="6" w:space="0" w:color="6F6F6F"/>
              <w:left w:val="single" w:sz="6" w:space="0" w:color="6F6F6F"/>
              <w:bottom w:val="single" w:sz="6" w:space="0" w:color="6F6F6F"/>
              <w:right w:val="single" w:sz="6" w:space="0" w:color="6F6F6F"/>
            </w:tcBorders>
            <w:shd w:val="clear" w:color="auto" w:fill="FFFFCC"/>
            <w:tcMar>
              <w:top w:w="100" w:type="dxa"/>
              <w:left w:w="130" w:type="dxa"/>
              <w:bottom w:w="100" w:type="dxa"/>
              <w:right w:w="130" w:type="dxa"/>
            </w:tcMar>
          </w:tcPr>
          <w:p w14:paraId="21A0C590" w14:textId="77777777" w:rsidR="00F73E68" w:rsidRDefault="00F73E68">
            <w:pPr>
              <w:pStyle w:val="Default"/>
              <w:spacing w:after="60" w:line="264" w:lineRule="auto"/>
              <w:rPr>
                <w:rFonts w:ascii="Arial" w:hAnsi="Arial" w:cs="Arial"/>
                <w:color w:val="auto"/>
                <w:sz w:val="18"/>
                <w:szCs w:val="18"/>
              </w:rPr>
            </w:pPr>
          </w:p>
        </w:tc>
      </w:tr>
      <w:tr w:rsidR="00F73E68" w14:paraId="7AABD45B" w14:textId="77777777">
        <w:trPr>
          <w:trHeight w:val="48"/>
          <w:jc w:val="center"/>
        </w:trPr>
        <w:tc>
          <w:tcPr>
            <w:tcW w:w="1800"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20E8AE27"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 xml:space="preserve">Abstract </w:t>
            </w: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196DCAB6"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2</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240678F8"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See the PRISMA 2020 for Abstracts checklist.</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275B7532" w14:textId="77777777" w:rsidR="00F73E68" w:rsidRDefault="00000000">
            <w:pPr>
              <w:pStyle w:val="Default"/>
              <w:spacing w:after="60" w:line="264" w:lineRule="auto"/>
            </w:pPr>
            <w:r>
              <w:rPr>
                <w:rFonts w:ascii="Arial" w:eastAsia="Arial" w:hAnsi="Arial"/>
                <w:sz w:val="18"/>
              </w:rPr>
              <w:t>Abstract. The abstract summarizes the background, search date and sources, randomized-trial eligibility, synthesis methods, main efficacy and safety outcomes, key results, and conclusion regarding selective, comparator-dependent PSMA-RLT treatment migration.</w:t>
            </w:r>
          </w:p>
        </w:tc>
      </w:tr>
      <w:tr w:rsidR="00F73E68" w14:paraId="1868D40D" w14:textId="77777777">
        <w:trPr>
          <w:trHeight w:val="24"/>
          <w:jc w:val="center"/>
        </w:trPr>
        <w:tc>
          <w:tcPr>
            <w:tcW w:w="5112" w:type="dxa"/>
            <w:gridSpan w:val="3"/>
            <w:tcBorders>
              <w:top w:val="single" w:sz="6" w:space="0" w:color="6F6F6F"/>
              <w:left w:val="single" w:sz="6" w:space="0" w:color="6F6F6F"/>
              <w:bottom w:val="single" w:sz="6" w:space="0" w:color="6F6F6F"/>
              <w:right w:val="single" w:sz="6" w:space="0" w:color="6F6F6F"/>
            </w:tcBorders>
            <w:shd w:val="clear" w:color="auto" w:fill="FFFFCC"/>
            <w:tcMar>
              <w:top w:w="100" w:type="dxa"/>
              <w:left w:w="130" w:type="dxa"/>
              <w:bottom w:w="100" w:type="dxa"/>
              <w:right w:w="130" w:type="dxa"/>
            </w:tcMar>
          </w:tcPr>
          <w:p w14:paraId="2CFE950E" w14:textId="77777777" w:rsidR="00F73E68" w:rsidRDefault="00000000">
            <w:pPr>
              <w:pStyle w:val="Default"/>
              <w:spacing w:after="50" w:line="259" w:lineRule="auto"/>
              <w:rPr>
                <w:rFonts w:ascii="Arial" w:hAnsi="Arial" w:cs="Arial"/>
                <w:sz w:val="18"/>
                <w:szCs w:val="18"/>
              </w:rPr>
            </w:pPr>
            <w:r>
              <w:rPr>
                <w:rFonts w:ascii="Arial" w:hAnsi="Arial" w:cs="Arial"/>
                <w:b/>
                <w:bCs/>
                <w:sz w:val="18"/>
                <w:szCs w:val="18"/>
              </w:rPr>
              <w:t xml:space="preserve">INTRODUCTION </w:t>
            </w:r>
          </w:p>
        </w:tc>
        <w:tc>
          <w:tcPr>
            <w:tcW w:w="7833" w:type="dxa"/>
            <w:tcBorders>
              <w:top w:val="single" w:sz="6" w:space="0" w:color="6F6F6F"/>
              <w:left w:val="single" w:sz="6" w:space="0" w:color="6F6F6F"/>
              <w:bottom w:val="single" w:sz="6" w:space="0" w:color="6F6F6F"/>
              <w:right w:val="single" w:sz="6" w:space="0" w:color="6F6F6F"/>
            </w:tcBorders>
            <w:shd w:val="clear" w:color="auto" w:fill="FFFFCC"/>
            <w:tcMar>
              <w:top w:w="100" w:type="dxa"/>
              <w:left w:w="130" w:type="dxa"/>
              <w:bottom w:w="100" w:type="dxa"/>
              <w:right w:w="130" w:type="dxa"/>
            </w:tcMar>
          </w:tcPr>
          <w:p w14:paraId="3DA90670" w14:textId="77777777" w:rsidR="00F73E68" w:rsidRDefault="00F73E68">
            <w:pPr>
              <w:pStyle w:val="Default"/>
              <w:spacing w:after="60" w:line="264" w:lineRule="auto"/>
              <w:rPr>
                <w:rFonts w:ascii="Arial" w:hAnsi="Arial" w:cs="Arial"/>
                <w:color w:val="auto"/>
                <w:sz w:val="18"/>
                <w:szCs w:val="18"/>
              </w:rPr>
            </w:pPr>
          </w:p>
        </w:tc>
      </w:tr>
      <w:tr w:rsidR="00F73E68" w14:paraId="3D106E97" w14:textId="77777777">
        <w:trPr>
          <w:trHeight w:val="48"/>
          <w:jc w:val="center"/>
        </w:trPr>
        <w:tc>
          <w:tcPr>
            <w:tcW w:w="1800"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089BB6A4"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 xml:space="preserve">Rationale </w:t>
            </w: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58BA62BB"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3</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016A7FC5"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Describe the rationale for the review in the context of existing knowledge.</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6DB46841" w14:textId="77777777" w:rsidR="00F73E68" w:rsidRDefault="00000000">
            <w:pPr>
              <w:pStyle w:val="Default"/>
              <w:spacing w:after="60" w:line="264" w:lineRule="auto"/>
            </w:pPr>
            <w:r>
              <w:rPr>
                <w:rFonts w:ascii="Arial" w:eastAsia="Arial" w:hAnsi="Arial"/>
                <w:sz w:val="18"/>
              </w:rPr>
              <w:t>Introduction, paragraphs 1-3. The rationale is described in the context of established late-line PSMA-RLT evidence, emerging earlier-disease trials, heterogeneity in disease setting and comparator choice, and uncertainty about when treatment migration is justified.</w:t>
            </w:r>
          </w:p>
        </w:tc>
      </w:tr>
      <w:tr w:rsidR="00F73E68" w14:paraId="6488B4B0" w14:textId="77777777">
        <w:trPr>
          <w:trHeight w:val="48"/>
          <w:jc w:val="center"/>
        </w:trPr>
        <w:tc>
          <w:tcPr>
            <w:tcW w:w="1800"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3A6F684E"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 xml:space="preserve">Objectives </w:t>
            </w: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5F013CD2"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4</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4D871EE0"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Provide an explicit statement of the objective(s) or question(s) the review addresses.</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53B8685E" w14:textId="77777777" w:rsidR="00F73E68" w:rsidRDefault="00000000">
            <w:pPr>
              <w:pStyle w:val="Default"/>
              <w:spacing w:after="60" w:line="264" w:lineRule="auto"/>
            </w:pPr>
            <w:r>
              <w:rPr>
                <w:rFonts w:ascii="Arial" w:eastAsia="Arial" w:hAnsi="Arial"/>
                <w:sz w:val="18"/>
              </w:rPr>
              <w:t>Introduction, final paragraph; Abstract. The objective is to synthesize randomized evidence across the prostate cancer continuum and determine the disease settings and comparator contexts in which earlier PSMA-RLT use is supported.</w:t>
            </w:r>
          </w:p>
        </w:tc>
      </w:tr>
      <w:tr w:rsidR="00F73E68" w14:paraId="0CFFB2B3" w14:textId="77777777">
        <w:trPr>
          <w:trHeight w:val="24"/>
          <w:jc w:val="center"/>
        </w:trPr>
        <w:tc>
          <w:tcPr>
            <w:tcW w:w="5112" w:type="dxa"/>
            <w:gridSpan w:val="3"/>
            <w:tcBorders>
              <w:top w:val="single" w:sz="6" w:space="0" w:color="6F6F6F"/>
              <w:left w:val="single" w:sz="6" w:space="0" w:color="6F6F6F"/>
              <w:bottom w:val="single" w:sz="6" w:space="0" w:color="6F6F6F"/>
              <w:right w:val="single" w:sz="6" w:space="0" w:color="6F6F6F"/>
            </w:tcBorders>
            <w:shd w:val="clear" w:color="auto" w:fill="FFFFCC"/>
            <w:tcMar>
              <w:top w:w="100" w:type="dxa"/>
              <w:left w:w="130" w:type="dxa"/>
              <w:bottom w:w="100" w:type="dxa"/>
              <w:right w:w="130" w:type="dxa"/>
            </w:tcMar>
          </w:tcPr>
          <w:p w14:paraId="6B88BC45" w14:textId="77777777" w:rsidR="00F73E68" w:rsidRDefault="00000000">
            <w:pPr>
              <w:pStyle w:val="Default"/>
              <w:spacing w:after="50" w:line="259" w:lineRule="auto"/>
              <w:rPr>
                <w:rFonts w:ascii="Arial" w:hAnsi="Arial" w:cs="Arial"/>
                <w:sz w:val="18"/>
                <w:szCs w:val="18"/>
              </w:rPr>
            </w:pPr>
            <w:r>
              <w:rPr>
                <w:rFonts w:ascii="Arial" w:hAnsi="Arial" w:cs="Arial"/>
                <w:b/>
                <w:bCs/>
                <w:sz w:val="18"/>
                <w:szCs w:val="18"/>
              </w:rPr>
              <w:t xml:space="preserve">METHODS </w:t>
            </w:r>
          </w:p>
        </w:tc>
        <w:tc>
          <w:tcPr>
            <w:tcW w:w="7833" w:type="dxa"/>
            <w:tcBorders>
              <w:top w:val="single" w:sz="6" w:space="0" w:color="6F6F6F"/>
              <w:left w:val="single" w:sz="6" w:space="0" w:color="6F6F6F"/>
              <w:bottom w:val="single" w:sz="6" w:space="0" w:color="6F6F6F"/>
              <w:right w:val="single" w:sz="6" w:space="0" w:color="6F6F6F"/>
            </w:tcBorders>
            <w:shd w:val="clear" w:color="auto" w:fill="FFFFCC"/>
            <w:tcMar>
              <w:top w:w="100" w:type="dxa"/>
              <w:left w:w="130" w:type="dxa"/>
              <w:bottom w:w="100" w:type="dxa"/>
              <w:right w:w="130" w:type="dxa"/>
            </w:tcMar>
          </w:tcPr>
          <w:p w14:paraId="77AB9853" w14:textId="77777777" w:rsidR="00F73E68" w:rsidRDefault="00F73E68">
            <w:pPr>
              <w:pStyle w:val="Default"/>
              <w:spacing w:after="60" w:line="264" w:lineRule="auto"/>
              <w:rPr>
                <w:rFonts w:ascii="Arial" w:hAnsi="Arial" w:cs="Arial"/>
                <w:color w:val="auto"/>
                <w:sz w:val="18"/>
                <w:szCs w:val="18"/>
              </w:rPr>
            </w:pPr>
          </w:p>
        </w:tc>
      </w:tr>
      <w:tr w:rsidR="00F73E68" w14:paraId="3C488DB6" w14:textId="77777777">
        <w:trPr>
          <w:trHeight w:val="48"/>
          <w:jc w:val="center"/>
        </w:trPr>
        <w:tc>
          <w:tcPr>
            <w:tcW w:w="1800"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48772AF5"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 xml:space="preserve">Eligibility criteria </w:t>
            </w: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1EB7E01C"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5</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0F1D4341"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70A9C71D" w14:textId="77777777" w:rsidR="00F73E68" w:rsidRDefault="00000000">
            <w:pPr>
              <w:pStyle w:val="Default"/>
              <w:spacing w:after="60" w:line="264" w:lineRule="auto"/>
            </w:pPr>
            <w:r>
              <w:rPr>
                <w:rFonts w:ascii="Arial" w:eastAsia="Arial" w:hAnsi="Arial"/>
                <w:sz w:val="18"/>
              </w:rPr>
              <w:t>Methods, Eligibility Criteria and Outcomes; Supplement 1, eTables 1-2. Inclusion and exclusion criteria are specified, and studies are grouped into prespecified clinical strata: late-line mCRPC, taxane-naive post-ARPI mCRPC, docetaxel-comparator chemotherapy-naive mCRPC, mHSPC upfront/intensification, oligometastatic or oligorecurrent HSPC, and the ENZA-p first-line combination setting.</w:t>
            </w:r>
          </w:p>
        </w:tc>
      </w:tr>
      <w:tr w:rsidR="00F73E68" w14:paraId="2D806EDB" w14:textId="77777777">
        <w:trPr>
          <w:trHeight w:val="191"/>
          <w:jc w:val="center"/>
        </w:trPr>
        <w:tc>
          <w:tcPr>
            <w:tcW w:w="1800"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4671416E"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 xml:space="preserve">Information sources </w:t>
            </w: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01E7E94A"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6</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38ED6492"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063800B9" w14:textId="77777777" w:rsidR="00F73E68" w:rsidRDefault="00000000">
            <w:pPr>
              <w:pStyle w:val="Default"/>
              <w:spacing w:after="60" w:line="264" w:lineRule="auto"/>
            </w:pPr>
            <w:r>
              <w:rPr>
                <w:rFonts w:ascii="Arial" w:eastAsia="Arial" w:hAnsi="Arial"/>
                <w:sz w:val="18"/>
              </w:rPr>
              <w:t>Methods, Search Strategy, Study Selection, and Data Extraction; Supplement 1, eAppendix 1. PubMed/MEDLINE, Cochrane CENTRAL, Scopus, Web of Science Core Collection, ClinicalTrials.gov, relevant conference proceedings, trial registries, reference lists, and known trial acronyms were searched from inception through June 17, 2026.</w:t>
            </w:r>
          </w:p>
        </w:tc>
      </w:tr>
      <w:tr w:rsidR="00F73E68" w14:paraId="4E98AB4D" w14:textId="77777777">
        <w:trPr>
          <w:trHeight w:val="48"/>
          <w:jc w:val="center"/>
        </w:trPr>
        <w:tc>
          <w:tcPr>
            <w:tcW w:w="1800"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3329A37F"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Search strategy</w:t>
            </w: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5F72141B"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7</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367A28E6"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 xml:space="preserve">Present the full search strategies for all databases, registers </w:t>
            </w:r>
            <w:r>
              <w:rPr>
                <w:rFonts w:ascii="Arial" w:hAnsi="Arial" w:cs="Arial"/>
                <w:sz w:val="18"/>
                <w:szCs w:val="18"/>
              </w:rPr>
              <w:lastRenderedPageBreak/>
              <w:t>and websites, including any filters and limits used.</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077FD846" w14:textId="77777777" w:rsidR="00F73E68" w:rsidRDefault="00000000">
            <w:pPr>
              <w:pStyle w:val="Default"/>
              <w:spacing w:after="60" w:line="264" w:lineRule="auto"/>
            </w:pPr>
            <w:r>
              <w:rPr>
                <w:rFonts w:ascii="Arial" w:eastAsia="Arial" w:hAnsi="Arial"/>
                <w:sz w:val="18"/>
              </w:rPr>
              <w:lastRenderedPageBreak/>
              <w:t xml:space="preserve">Supplement 1, eAppendix 1. Complete database-specific search strategies are provided for </w:t>
            </w:r>
            <w:r>
              <w:rPr>
                <w:rFonts w:ascii="Arial" w:eastAsia="Arial" w:hAnsi="Arial"/>
                <w:sz w:val="18"/>
              </w:rPr>
              <w:lastRenderedPageBreak/>
              <w:t>PubMed/MEDLINE, Cochrane CENTRAL, Scopus, Web of Science Core Collection, and ClinicalTrials.gov, including search terms and limits/notes.</w:t>
            </w:r>
          </w:p>
        </w:tc>
      </w:tr>
      <w:tr w:rsidR="00F73E68" w14:paraId="7F3310CA" w14:textId="77777777">
        <w:trPr>
          <w:trHeight w:val="48"/>
          <w:jc w:val="center"/>
        </w:trPr>
        <w:tc>
          <w:tcPr>
            <w:tcW w:w="1800"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51F099D0"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lastRenderedPageBreak/>
              <w:t>Selection process</w:t>
            </w: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1649AF89"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8</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23DFCE9F"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5C0677E9" w14:textId="77777777" w:rsidR="00F73E68" w:rsidRDefault="00000000">
            <w:pPr>
              <w:pStyle w:val="Default"/>
              <w:spacing w:after="60" w:line="264" w:lineRule="auto"/>
            </w:pPr>
            <w:r>
              <w:rPr>
                <w:rFonts w:ascii="Arial" w:eastAsia="Arial" w:hAnsi="Arial"/>
                <w:sz w:val="18"/>
              </w:rPr>
              <w:t>Methods, Search Strategy, Study Selection, and Data Extraction. Two reviewers independently screened titles and abstracts, assessed full-text eligibility, and resolved disagreements by consensus, with adjudication by a third reviewer when required.</w:t>
            </w:r>
          </w:p>
        </w:tc>
      </w:tr>
      <w:tr w:rsidR="00F73E68" w14:paraId="0D0C3A65" w14:textId="77777777">
        <w:trPr>
          <w:trHeight w:val="152"/>
          <w:jc w:val="center"/>
        </w:trPr>
        <w:tc>
          <w:tcPr>
            <w:tcW w:w="1800"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65180BD8"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 xml:space="preserve">Data collection process </w:t>
            </w: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668B3E0D"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9</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06D857BC"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34AA8710" w14:textId="77777777" w:rsidR="00F73E68" w:rsidRDefault="00000000">
            <w:pPr>
              <w:pStyle w:val="Default"/>
              <w:spacing w:after="60" w:line="264" w:lineRule="auto"/>
            </w:pPr>
            <w:r>
              <w:rPr>
                <w:rFonts w:ascii="Arial" w:eastAsia="Arial" w:hAnsi="Arial"/>
                <w:sz w:val="18"/>
              </w:rPr>
              <w:t>Methods, Search Strategy, Study Selection, and Data Extraction. Two reviewers independently extracted data using a standardized form; published articles, supplementary appendices, trial registries, conference materials, and sponsor-reported results were cross-checked for consistency.</w:t>
            </w:r>
          </w:p>
        </w:tc>
      </w:tr>
      <w:tr w:rsidR="00F73E68" w14:paraId="3E62FEEA" w14:textId="77777777">
        <w:trPr>
          <w:trHeight w:val="48"/>
          <w:jc w:val="center"/>
        </w:trPr>
        <w:tc>
          <w:tcPr>
            <w:tcW w:w="1800" w:type="dxa"/>
            <w:vMerge w:val="restart"/>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2928F668"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 xml:space="preserve">Data items </w:t>
            </w: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2381B2B9"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10a</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41B22CDD"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6B6FE2F7" w14:textId="77777777" w:rsidR="00F73E68" w:rsidRDefault="00000000">
            <w:pPr>
              <w:pStyle w:val="Default"/>
              <w:spacing w:after="60" w:line="264" w:lineRule="auto"/>
            </w:pPr>
            <w:r>
              <w:rPr>
                <w:rFonts w:ascii="Arial" w:eastAsia="Arial" w:hAnsi="Arial"/>
                <w:sz w:val="18"/>
              </w:rPr>
              <w:t>Methods, Eligibility Criteria and Outcomes. Outcomes sought included the trial-defined time-to-progression endpoint (rPFS, PFS, or PSA progression-free survival), overall survival, PSA50 response, objective response rate, patient-reported outcomes, pain and opioid-related outcomes, and grade 3 or higher adverse events.</w:t>
            </w:r>
          </w:p>
        </w:tc>
      </w:tr>
      <w:tr w:rsidR="00F73E68" w14:paraId="61CCD384" w14:textId="77777777">
        <w:trPr>
          <w:trHeight w:val="48"/>
          <w:jc w:val="center"/>
        </w:trPr>
        <w:tc>
          <w:tcPr>
            <w:tcW w:w="1668" w:type="dxa"/>
            <w:vMerge/>
            <w:tcBorders>
              <w:left w:val="single" w:sz="4" w:space="0" w:color="000000"/>
              <w:bottom w:val="single" w:sz="4" w:space="0" w:color="000000"/>
              <w:right w:val="single" w:sz="4" w:space="0" w:color="000000"/>
            </w:tcBorders>
          </w:tcPr>
          <w:p w14:paraId="76DA211C" w14:textId="77777777" w:rsidR="00F73E68" w:rsidRDefault="00F73E68">
            <w:pPr>
              <w:pStyle w:val="Default"/>
              <w:spacing w:before="40" w:after="40"/>
              <w:rPr>
                <w:rFonts w:ascii="Arial" w:hAnsi="Arial" w:cs="Arial"/>
                <w:sz w:val="18"/>
                <w:szCs w:val="18"/>
              </w:rPr>
            </w:pP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293521AA"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10b</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76593F36"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58DAED42" w14:textId="77777777" w:rsidR="00F73E68" w:rsidRDefault="00000000">
            <w:pPr>
              <w:pStyle w:val="Default"/>
              <w:spacing w:after="60" w:line="264" w:lineRule="auto"/>
            </w:pPr>
            <w:r>
              <w:rPr>
                <w:rFonts w:ascii="Arial" w:eastAsia="Arial" w:hAnsi="Arial"/>
                <w:sz w:val="18"/>
              </w:rPr>
              <w:t>Methods, Search Strategy, Study Selection, and Data Extraction; Table 1; Supplement 1, eTables 1-5. Extracted variables included trial design, disease setting, prior ARPI and taxane exposure, PSMA PET and FDG PET selection criteria, radioligand/radionuclide, administered activity, treatment interval and cycles, concomitant therapy, comparator, analysis populations, follow-up, efficacy outcomes, patient-reported outcomes, and adverse events.</w:t>
            </w:r>
          </w:p>
        </w:tc>
      </w:tr>
      <w:tr w:rsidR="00F73E68" w14:paraId="773AD09B" w14:textId="77777777">
        <w:trPr>
          <w:trHeight w:val="48"/>
          <w:jc w:val="center"/>
        </w:trPr>
        <w:tc>
          <w:tcPr>
            <w:tcW w:w="1800"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09DB674B"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Study risk of bias assessment</w:t>
            </w: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411650C8"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11</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1025ECC4"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19F8C218" w14:textId="77777777" w:rsidR="00F73E68" w:rsidRDefault="00000000">
            <w:pPr>
              <w:pStyle w:val="Default"/>
              <w:spacing w:after="60" w:line="264" w:lineRule="auto"/>
            </w:pPr>
            <w:r>
              <w:rPr>
                <w:rFonts w:ascii="Arial" w:eastAsia="Arial" w:hAnsi="Arial"/>
                <w:sz w:val="18"/>
              </w:rPr>
              <w:t>Methods, Data Synthesis; Results, Sensitivity Analyses and Bias Assessment; Supplement 1, eTable 10 and eFigure 9. Risk of bias was assessed for each outcome using the revised Cochrane Risk of Bias 2 tool.</w:t>
            </w:r>
          </w:p>
        </w:tc>
      </w:tr>
      <w:tr w:rsidR="00F73E68" w14:paraId="2320CD7E" w14:textId="77777777">
        <w:trPr>
          <w:trHeight w:val="48"/>
          <w:jc w:val="center"/>
        </w:trPr>
        <w:tc>
          <w:tcPr>
            <w:tcW w:w="1800"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2661CBDD"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 xml:space="preserve">Effect measures </w:t>
            </w: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10D69303"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12</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12D296A3"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33E995B3" w14:textId="77777777" w:rsidR="00F73E68" w:rsidRDefault="00000000">
            <w:pPr>
              <w:pStyle w:val="Default"/>
              <w:spacing w:after="60" w:line="264" w:lineRule="auto"/>
            </w:pPr>
            <w:r>
              <w:rPr>
                <w:rFonts w:ascii="Arial" w:eastAsia="Arial" w:hAnsi="Arial"/>
                <w:sz w:val="18"/>
              </w:rPr>
              <w:t>Methods, Data Synthesis. Time-to-event outcomes were summarized as hazard ratios (HRs) with 95% confidence intervals (CIs); binary outcomes were summarized as risk ratios (RRs) with 95% CIs.</w:t>
            </w:r>
          </w:p>
        </w:tc>
      </w:tr>
      <w:tr w:rsidR="00F73E68" w14:paraId="5ACE44FF" w14:textId="77777777">
        <w:trPr>
          <w:trHeight w:val="48"/>
          <w:jc w:val="center"/>
        </w:trPr>
        <w:tc>
          <w:tcPr>
            <w:tcW w:w="1800" w:type="dxa"/>
            <w:vMerge w:val="restart"/>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3C782FF8"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Synthesis methods</w:t>
            </w: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69D504B9"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13a</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2C231FEC"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 xml:space="preserve">Describe the processes used to decide which studies were </w:t>
            </w:r>
            <w:r>
              <w:rPr>
                <w:rFonts w:ascii="Arial" w:hAnsi="Arial" w:cs="Arial"/>
                <w:sz w:val="18"/>
                <w:szCs w:val="18"/>
              </w:rPr>
              <w:lastRenderedPageBreak/>
              <w:t>eligible for each synthesis (e.g. tabulating the study intervention characteristics and comparing against the planned groups for each synthesis (item #5)).</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5A8C7E18" w14:textId="77777777" w:rsidR="00F73E68" w:rsidRDefault="00000000">
            <w:pPr>
              <w:pStyle w:val="Default"/>
              <w:spacing w:after="60" w:line="264" w:lineRule="auto"/>
            </w:pPr>
            <w:r>
              <w:rPr>
                <w:rFonts w:ascii="Arial" w:eastAsia="Arial" w:hAnsi="Arial"/>
                <w:sz w:val="18"/>
              </w:rPr>
              <w:lastRenderedPageBreak/>
              <w:t xml:space="preserve">Methods, Eligibility Criteria and Outcomes; Methods, Data Synthesis; Supplement 1, eTables </w:t>
            </w:r>
            <w:r>
              <w:rPr>
                <w:rFonts w:ascii="Arial" w:eastAsia="Arial" w:hAnsi="Arial"/>
                <w:sz w:val="18"/>
              </w:rPr>
              <w:lastRenderedPageBreak/>
              <w:t>1-6 and eTable 9. Studies were assigned to prespecified clinical strata before synthesis; clinically comparable progression endpoints were pooled within strata, and ENZA-p was analyzed separately as an additive combination strategy.</w:t>
            </w:r>
          </w:p>
        </w:tc>
      </w:tr>
      <w:tr w:rsidR="00F73E68" w14:paraId="1250B7DD" w14:textId="77777777">
        <w:trPr>
          <w:trHeight w:val="48"/>
          <w:jc w:val="center"/>
        </w:trPr>
        <w:tc>
          <w:tcPr>
            <w:tcW w:w="1668" w:type="dxa"/>
            <w:vMerge/>
            <w:tcBorders>
              <w:left w:val="single" w:sz="4" w:space="0" w:color="000000"/>
              <w:right w:val="single" w:sz="4" w:space="0" w:color="000000"/>
            </w:tcBorders>
          </w:tcPr>
          <w:p w14:paraId="3639C227" w14:textId="77777777" w:rsidR="00F73E68" w:rsidRDefault="00F73E68">
            <w:pPr>
              <w:pStyle w:val="Default"/>
              <w:spacing w:before="40" w:after="40"/>
              <w:rPr>
                <w:rFonts w:ascii="Arial" w:hAnsi="Arial" w:cs="Arial"/>
                <w:sz w:val="18"/>
                <w:szCs w:val="18"/>
              </w:rPr>
            </w:pP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60DA3200"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13b</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2DBD100E"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491DABB2" w14:textId="77777777" w:rsidR="00F73E68" w:rsidRDefault="00000000">
            <w:pPr>
              <w:pStyle w:val="Default"/>
              <w:spacing w:after="60" w:line="264" w:lineRule="auto"/>
            </w:pPr>
            <w:r>
              <w:rPr>
                <w:rFonts w:ascii="Arial" w:eastAsia="Arial" w:hAnsi="Arial"/>
                <w:sz w:val="18"/>
              </w:rPr>
              <w:t>Methods, Search Strategy, Study Selection, and Data Extraction; Methods, Data Synthesis; Supplement 1, eTables 6 and 9. HRs were pooled on the logarithmic scale using inverse-variance weighting; binary event data were summarized as RRs; studies with zero events in both arms were displayed as not estimable and excluded from the corresponding RR pooling.</w:t>
            </w:r>
          </w:p>
        </w:tc>
      </w:tr>
      <w:tr w:rsidR="00F73E68" w14:paraId="141BF183" w14:textId="77777777">
        <w:trPr>
          <w:trHeight w:val="48"/>
          <w:jc w:val="center"/>
        </w:trPr>
        <w:tc>
          <w:tcPr>
            <w:tcW w:w="1668" w:type="dxa"/>
            <w:vMerge/>
            <w:tcBorders>
              <w:left w:val="single" w:sz="4" w:space="0" w:color="000000"/>
              <w:right w:val="single" w:sz="4" w:space="0" w:color="000000"/>
            </w:tcBorders>
          </w:tcPr>
          <w:p w14:paraId="3DAA57DA" w14:textId="77777777" w:rsidR="00F73E68" w:rsidRDefault="00F73E68">
            <w:pPr>
              <w:pStyle w:val="Default"/>
              <w:spacing w:before="40" w:after="40"/>
              <w:rPr>
                <w:rFonts w:ascii="Arial" w:hAnsi="Arial" w:cs="Arial"/>
                <w:sz w:val="18"/>
                <w:szCs w:val="18"/>
              </w:rPr>
            </w:pP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4AF9135F"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13c</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506900CC"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6750716B" w14:textId="77777777" w:rsidR="00F73E68" w:rsidRDefault="00000000">
            <w:pPr>
              <w:pStyle w:val="Default"/>
              <w:spacing w:after="60" w:line="264" w:lineRule="auto"/>
            </w:pPr>
            <w:r>
              <w:rPr>
                <w:rFonts w:ascii="Arial" w:eastAsia="Arial" w:hAnsi="Arial"/>
                <w:sz w:val="18"/>
              </w:rPr>
              <w:t>Table 1; Figures 1-4; Supplement 1, eTables 1-11 and eFigures 1-10. Results are displayed using the PRISMA flow diagram, study-characteristics tables, analysis-ready effect-size tables, subgroup interaction plots, forest plots, evidence-distribution summaries, risk-of-bias displays, and funnel plots.</w:t>
            </w:r>
          </w:p>
        </w:tc>
      </w:tr>
      <w:tr w:rsidR="00F73E68" w14:paraId="6C8CCE53" w14:textId="77777777">
        <w:trPr>
          <w:trHeight w:val="48"/>
          <w:jc w:val="center"/>
        </w:trPr>
        <w:tc>
          <w:tcPr>
            <w:tcW w:w="1668" w:type="dxa"/>
            <w:vMerge/>
            <w:tcBorders>
              <w:left w:val="single" w:sz="4" w:space="0" w:color="000000"/>
              <w:right w:val="single" w:sz="4" w:space="0" w:color="000000"/>
            </w:tcBorders>
          </w:tcPr>
          <w:p w14:paraId="0F0CE7B0" w14:textId="77777777" w:rsidR="00F73E68" w:rsidRDefault="00F73E68">
            <w:pPr>
              <w:pStyle w:val="Default"/>
              <w:spacing w:before="40" w:after="40"/>
              <w:rPr>
                <w:rFonts w:ascii="Arial" w:hAnsi="Arial" w:cs="Arial"/>
                <w:sz w:val="18"/>
                <w:szCs w:val="18"/>
              </w:rPr>
            </w:pP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7D210E25"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13d</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78289F05"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49696D24" w14:textId="77777777" w:rsidR="00F73E68" w:rsidRDefault="00000000">
            <w:pPr>
              <w:pStyle w:val="Default"/>
              <w:spacing w:after="60" w:line="264" w:lineRule="auto"/>
            </w:pPr>
            <w:r>
              <w:rPr>
                <w:rFonts w:ascii="Arial" w:eastAsia="Arial" w:hAnsi="Arial"/>
                <w:sz w:val="18"/>
              </w:rPr>
              <w:t>Methods, Data Synthesis. Random-effects models were used because clinical heterogeneity was anticipated across disease states, treatment lines, imaging-selection criteria, intervention strategies, and comparators. Between-study heterogeneity was quantified using I2.</w:t>
            </w:r>
          </w:p>
        </w:tc>
      </w:tr>
      <w:tr w:rsidR="00F73E68" w14:paraId="78C803D5" w14:textId="77777777">
        <w:trPr>
          <w:trHeight w:val="48"/>
          <w:jc w:val="center"/>
        </w:trPr>
        <w:tc>
          <w:tcPr>
            <w:tcW w:w="1668" w:type="dxa"/>
            <w:vMerge/>
            <w:tcBorders>
              <w:left w:val="single" w:sz="4" w:space="0" w:color="000000"/>
              <w:right w:val="single" w:sz="4" w:space="0" w:color="000000"/>
            </w:tcBorders>
          </w:tcPr>
          <w:p w14:paraId="70D43498" w14:textId="77777777" w:rsidR="00F73E68" w:rsidRDefault="00F73E68">
            <w:pPr>
              <w:pStyle w:val="Default"/>
              <w:spacing w:before="40" w:after="40"/>
              <w:rPr>
                <w:rFonts w:ascii="Arial" w:hAnsi="Arial" w:cs="Arial"/>
                <w:sz w:val="18"/>
                <w:szCs w:val="18"/>
              </w:rPr>
            </w:pP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17F2A189"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13e</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522BB10D"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713426F9" w14:textId="77777777" w:rsidR="00F73E68" w:rsidRDefault="00000000">
            <w:pPr>
              <w:pStyle w:val="Default"/>
              <w:spacing w:after="60" w:line="264" w:lineRule="auto"/>
            </w:pPr>
            <w:r>
              <w:rPr>
                <w:rFonts w:ascii="Arial" w:eastAsia="Arial" w:hAnsi="Arial"/>
                <w:sz w:val="18"/>
              </w:rPr>
              <w:t>Methods, Data Synthesis; Results, Treatment-Effect Modification; Figures 2-3; Supplement 1, eTable 11 and eFigure 7. Heterogeneity and effect modification were explored through prespecified subgroup interaction analyses, ratios of subgroup HRs, sensitivity analyses, and clinical-stratum summaries.</w:t>
            </w:r>
          </w:p>
        </w:tc>
      </w:tr>
      <w:tr w:rsidR="00F73E68" w14:paraId="2FEE0A87" w14:textId="77777777">
        <w:trPr>
          <w:trHeight w:val="50"/>
          <w:jc w:val="center"/>
        </w:trPr>
        <w:tc>
          <w:tcPr>
            <w:tcW w:w="1668" w:type="dxa"/>
            <w:vMerge/>
            <w:tcBorders>
              <w:left w:val="single" w:sz="4" w:space="0" w:color="000000"/>
              <w:bottom w:val="single" w:sz="4" w:space="0" w:color="000000"/>
              <w:right w:val="single" w:sz="4" w:space="0" w:color="000000"/>
            </w:tcBorders>
          </w:tcPr>
          <w:p w14:paraId="2C47F971" w14:textId="77777777" w:rsidR="00F73E68" w:rsidRDefault="00F73E68">
            <w:pPr>
              <w:pStyle w:val="Default"/>
              <w:spacing w:before="40" w:after="40"/>
              <w:rPr>
                <w:rFonts w:ascii="Arial" w:hAnsi="Arial" w:cs="Arial"/>
                <w:sz w:val="18"/>
                <w:szCs w:val="18"/>
              </w:rPr>
            </w:pP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60392FA7"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13f</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0CE5FE13"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6E50E1A9" w14:textId="77777777" w:rsidR="00F73E68" w:rsidRDefault="00000000">
            <w:pPr>
              <w:pStyle w:val="Default"/>
              <w:spacing w:after="60" w:line="264" w:lineRule="auto"/>
            </w:pPr>
            <w:r>
              <w:rPr>
                <w:rFonts w:ascii="Arial" w:eastAsia="Arial" w:hAnsi="Arial"/>
                <w:sz w:val="18"/>
              </w:rPr>
              <w:t>Methods, Data Synthesis; Results, Sensitivity Analyses and Bias Assessment; Supplement 1, eTable 11. Sensitivity analyses excluded studies available only as conference abstracts or presentations and repeated analyses using peer-reviewed full-text trials when sufficient evidence remained.</w:t>
            </w:r>
          </w:p>
        </w:tc>
      </w:tr>
      <w:tr w:rsidR="00F73E68" w14:paraId="56D631F7" w14:textId="77777777">
        <w:trPr>
          <w:trHeight w:val="48"/>
          <w:jc w:val="center"/>
        </w:trPr>
        <w:tc>
          <w:tcPr>
            <w:tcW w:w="1800"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5A16B9E1"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Reporting bias assessment</w:t>
            </w: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34E5C89A"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14</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6E4D89F1"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2FB1E620" w14:textId="77777777" w:rsidR="00F73E68" w:rsidRDefault="00000000">
            <w:pPr>
              <w:pStyle w:val="Default"/>
              <w:spacing w:after="60" w:line="264" w:lineRule="auto"/>
            </w:pPr>
            <w:r>
              <w:rPr>
                <w:rFonts w:ascii="Arial" w:eastAsia="Arial" w:hAnsi="Arial"/>
                <w:sz w:val="18"/>
              </w:rPr>
              <w:t>Methods, Data Synthesis; Results, Sensitivity Analyses and Bias Assessment; Supplement 1, eFigures 9-10 and eTables 10-11. Funnel plots and Egger regression were used only when the number of available comparisons was sufficient; Egger regression was not statistically significant for the overall PFS/rPFS analysis.</w:t>
            </w:r>
          </w:p>
        </w:tc>
      </w:tr>
      <w:tr w:rsidR="00F73E68" w14:paraId="07A02DF0" w14:textId="77777777">
        <w:trPr>
          <w:trHeight w:val="48"/>
          <w:jc w:val="center"/>
        </w:trPr>
        <w:tc>
          <w:tcPr>
            <w:tcW w:w="1800"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7247B07C"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Certainty assessment</w:t>
            </w: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434A8A7F"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15</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1DAFF0F2"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01BB4058" w14:textId="77777777" w:rsidR="00F73E68" w:rsidRDefault="00000000">
            <w:pPr>
              <w:pStyle w:val="Default"/>
              <w:spacing w:after="60" w:line="264" w:lineRule="auto"/>
            </w:pPr>
            <w:r>
              <w:rPr>
                <w:rFonts w:ascii="Arial" w:eastAsia="Arial" w:hAnsi="Arial"/>
                <w:sz w:val="18"/>
              </w:rPr>
              <w:t xml:space="preserve">Methods, Data Synthesis; Results, Sensitivity Analyses and Bias Assessment. A formal GRADE certainty assessment was not performed; confidence in the evidence was addressed </w:t>
            </w:r>
            <w:r>
              <w:rPr>
                <w:rFonts w:ascii="Arial" w:eastAsia="Arial" w:hAnsi="Arial"/>
                <w:sz w:val="18"/>
              </w:rPr>
              <w:lastRenderedPageBreak/>
              <w:t>through RoB 2 assessment, data-maturity distinctions, sensitivity analyses, and cautious interpretation of conference-reported or immature datasets.</w:t>
            </w:r>
          </w:p>
        </w:tc>
      </w:tr>
      <w:tr w:rsidR="00F73E68" w14:paraId="7822F589" w14:textId="77777777">
        <w:trPr>
          <w:trHeight w:val="24"/>
          <w:jc w:val="center"/>
        </w:trPr>
        <w:tc>
          <w:tcPr>
            <w:tcW w:w="5112" w:type="dxa"/>
            <w:gridSpan w:val="3"/>
            <w:tcBorders>
              <w:top w:val="single" w:sz="6" w:space="0" w:color="6F6F6F"/>
              <w:left w:val="single" w:sz="6" w:space="0" w:color="6F6F6F"/>
              <w:bottom w:val="single" w:sz="6" w:space="0" w:color="6F6F6F"/>
              <w:right w:val="single" w:sz="6" w:space="0" w:color="6F6F6F"/>
            </w:tcBorders>
            <w:shd w:val="clear" w:color="auto" w:fill="FFFFCC"/>
            <w:tcMar>
              <w:top w:w="100" w:type="dxa"/>
              <w:left w:w="130" w:type="dxa"/>
              <w:bottom w:w="100" w:type="dxa"/>
              <w:right w:w="130" w:type="dxa"/>
            </w:tcMar>
          </w:tcPr>
          <w:p w14:paraId="270F0BFC" w14:textId="77777777" w:rsidR="00F73E68" w:rsidRDefault="00000000">
            <w:pPr>
              <w:pStyle w:val="Default"/>
              <w:spacing w:after="50" w:line="259" w:lineRule="auto"/>
              <w:rPr>
                <w:rFonts w:ascii="Arial" w:hAnsi="Arial" w:cs="Arial"/>
                <w:sz w:val="18"/>
                <w:szCs w:val="18"/>
              </w:rPr>
            </w:pPr>
            <w:r>
              <w:rPr>
                <w:rFonts w:ascii="Arial" w:hAnsi="Arial" w:cs="Arial"/>
                <w:b/>
                <w:bCs/>
                <w:sz w:val="18"/>
                <w:szCs w:val="18"/>
              </w:rPr>
              <w:lastRenderedPageBreak/>
              <w:t xml:space="preserve">RESULTS </w:t>
            </w:r>
          </w:p>
        </w:tc>
        <w:tc>
          <w:tcPr>
            <w:tcW w:w="7833" w:type="dxa"/>
            <w:tcBorders>
              <w:top w:val="single" w:sz="6" w:space="0" w:color="6F6F6F"/>
              <w:left w:val="single" w:sz="6" w:space="0" w:color="6F6F6F"/>
              <w:bottom w:val="single" w:sz="6" w:space="0" w:color="6F6F6F"/>
              <w:right w:val="single" w:sz="6" w:space="0" w:color="6F6F6F"/>
            </w:tcBorders>
            <w:shd w:val="clear" w:color="auto" w:fill="FFFFCC"/>
            <w:tcMar>
              <w:top w:w="100" w:type="dxa"/>
              <w:left w:w="130" w:type="dxa"/>
              <w:bottom w:w="100" w:type="dxa"/>
              <w:right w:w="130" w:type="dxa"/>
            </w:tcMar>
          </w:tcPr>
          <w:p w14:paraId="074B8B12" w14:textId="77777777" w:rsidR="00F73E68" w:rsidRDefault="00F73E68">
            <w:pPr>
              <w:pStyle w:val="Default"/>
              <w:spacing w:after="60" w:line="264" w:lineRule="auto"/>
              <w:rPr>
                <w:rFonts w:ascii="Arial" w:hAnsi="Arial" w:cs="Arial"/>
                <w:color w:val="auto"/>
                <w:sz w:val="18"/>
                <w:szCs w:val="18"/>
              </w:rPr>
            </w:pPr>
          </w:p>
        </w:tc>
      </w:tr>
      <w:tr w:rsidR="00F73E68" w14:paraId="71DE6CEB" w14:textId="77777777">
        <w:trPr>
          <w:trHeight w:val="48"/>
          <w:jc w:val="center"/>
        </w:trPr>
        <w:tc>
          <w:tcPr>
            <w:tcW w:w="1800" w:type="dxa"/>
            <w:vMerge w:val="restart"/>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70326F9B"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 xml:space="preserve">Study selection </w:t>
            </w: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59F08604"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16a</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7B523944"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1C6BE289" w14:textId="77777777" w:rsidR="00F73E68" w:rsidRDefault="00000000">
            <w:pPr>
              <w:pStyle w:val="Default"/>
              <w:spacing w:after="60" w:line="264" w:lineRule="auto"/>
            </w:pPr>
            <w:r>
              <w:rPr>
                <w:rFonts w:ascii="Arial" w:eastAsia="Arial" w:hAnsi="Arial"/>
                <w:sz w:val="18"/>
              </w:rPr>
              <w:t>Results, Study Selection and Characteristics; Figure 1. The search identified 1,497 records; 421 duplicates were removed; 1,076 records were screened; 45 reports were assessed for eligibility; and 12 randomized trials involving 3,767 patients were included in the systematic review and quantitative meta-analysis.</w:t>
            </w:r>
          </w:p>
        </w:tc>
      </w:tr>
      <w:tr w:rsidR="00F73E68" w14:paraId="51B6C50F" w14:textId="77777777">
        <w:trPr>
          <w:trHeight w:val="48"/>
          <w:jc w:val="center"/>
        </w:trPr>
        <w:tc>
          <w:tcPr>
            <w:tcW w:w="1668" w:type="dxa"/>
            <w:vMerge/>
            <w:tcBorders>
              <w:left w:val="single" w:sz="4" w:space="0" w:color="000000"/>
              <w:bottom w:val="single" w:sz="4" w:space="0" w:color="000000"/>
              <w:right w:val="single" w:sz="4" w:space="0" w:color="000000"/>
            </w:tcBorders>
          </w:tcPr>
          <w:p w14:paraId="7D057AB0" w14:textId="77777777" w:rsidR="00F73E68" w:rsidRDefault="00F73E68">
            <w:pPr>
              <w:pStyle w:val="Default"/>
              <w:spacing w:before="40" w:after="40"/>
              <w:rPr>
                <w:rFonts w:ascii="Arial" w:hAnsi="Arial" w:cs="Arial"/>
                <w:sz w:val="18"/>
                <w:szCs w:val="18"/>
              </w:rPr>
            </w:pP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5640B3F0"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16b</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0B43DDBA"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459DCC63" w14:textId="77777777" w:rsidR="00F73E68" w:rsidRDefault="00000000">
            <w:pPr>
              <w:pStyle w:val="Default"/>
              <w:spacing w:after="60" w:line="264" w:lineRule="auto"/>
            </w:pPr>
            <w:r>
              <w:rPr>
                <w:rFonts w:ascii="Arial" w:eastAsia="Arial" w:hAnsi="Arial"/>
                <w:sz w:val="18"/>
              </w:rPr>
              <w:t>Figure 1. Full-text exclusion reasons are reported in the PRISMA flow diagram, including ineligible study design, overlapping populations, and conference abstracts without adequate extractable randomized outcome data.</w:t>
            </w:r>
          </w:p>
        </w:tc>
      </w:tr>
      <w:tr w:rsidR="00F73E68" w14:paraId="0F98CF08" w14:textId="77777777">
        <w:trPr>
          <w:trHeight w:val="103"/>
          <w:jc w:val="center"/>
        </w:trPr>
        <w:tc>
          <w:tcPr>
            <w:tcW w:w="1800"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6BB2BB25"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 xml:space="preserve">Study characteristics </w:t>
            </w: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42C26D75"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17</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37EDF473"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Cite each included study and present its characteristics.</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3EC7BC8A" w14:textId="77777777" w:rsidR="00F73E68" w:rsidRDefault="00000000">
            <w:pPr>
              <w:pStyle w:val="Default"/>
              <w:spacing w:after="60" w:line="264" w:lineRule="auto"/>
            </w:pPr>
            <w:r>
              <w:rPr>
                <w:rFonts w:ascii="Arial" w:eastAsia="Arial" w:hAnsi="Arial"/>
                <w:sz w:val="18"/>
              </w:rPr>
              <w:t>Results, Study Selection and Characteristics; Table 1; Supplement 1, eTables 1-5. Characteristics of the 12 included randomized trials are presented, including trial source, design, disease setting, eligibility criteria, imaging selection, baseline disease burden, prior therapy, treatment regimen, and comparator details.</w:t>
            </w:r>
          </w:p>
        </w:tc>
      </w:tr>
      <w:tr w:rsidR="00F73E68" w14:paraId="19AD1877" w14:textId="77777777">
        <w:trPr>
          <w:trHeight w:val="48"/>
          <w:jc w:val="center"/>
        </w:trPr>
        <w:tc>
          <w:tcPr>
            <w:tcW w:w="1800"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744B11A9"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 xml:space="preserve">Risk of bias in studies </w:t>
            </w: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7EF18397"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18</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12523A29"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Present assessments of risk of bias for each included study.</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778DE592" w14:textId="77777777" w:rsidR="00F73E68" w:rsidRDefault="00000000">
            <w:pPr>
              <w:pStyle w:val="Default"/>
              <w:spacing w:after="60" w:line="264" w:lineRule="auto"/>
            </w:pPr>
            <w:r>
              <w:rPr>
                <w:rFonts w:ascii="Arial" w:eastAsia="Arial" w:hAnsi="Arial"/>
                <w:sz w:val="18"/>
              </w:rPr>
              <w:t>Results, Sensitivity Analyses and Bias Assessment; Supplement 1, eTable 10 and eFigure 9. Risk-of-bias judgments are presented for included randomized trials; no high-risk judgments were reported.</w:t>
            </w:r>
          </w:p>
        </w:tc>
      </w:tr>
      <w:tr w:rsidR="00F73E68" w14:paraId="6688C060" w14:textId="77777777">
        <w:trPr>
          <w:trHeight w:val="48"/>
          <w:jc w:val="center"/>
        </w:trPr>
        <w:tc>
          <w:tcPr>
            <w:tcW w:w="1800"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20903B9D"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 xml:space="preserve">Results of individual studies </w:t>
            </w: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584BBA38"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19</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6C33DB6B"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1C75995A" w14:textId="77777777" w:rsidR="00F73E68" w:rsidRDefault="00000000">
            <w:pPr>
              <w:pStyle w:val="Default"/>
              <w:spacing w:after="60" w:line="264" w:lineRule="auto"/>
            </w:pPr>
            <w:r>
              <w:rPr>
                <w:rFonts w:ascii="Arial" w:eastAsia="Arial" w:hAnsi="Arial"/>
                <w:sz w:val="18"/>
              </w:rPr>
              <w:t>Results, clinical-stratum sections; Table 1; Supplement 1, eTables 6-9 and eFigures 1-8. Study-level summary statistics, effect estimates, 95% CIs, response outcomes, safety outcomes, and forest plots are reported for individual trials and subgroups.</w:t>
            </w:r>
          </w:p>
        </w:tc>
      </w:tr>
      <w:tr w:rsidR="00F73E68" w14:paraId="511E14CD" w14:textId="77777777">
        <w:trPr>
          <w:trHeight w:val="48"/>
          <w:jc w:val="center"/>
        </w:trPr>
        <w:tc>
          <w:tcPr>
            <w:tcW w:w="1800" w:type="dxa"/>
            <w:vMerge w:val="restart"/>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274902EF"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Results of syntheses</w:t>
            </w: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37025F6B"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20a</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7113687B"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109C2402" w14:textId="77777777" w:rsidR="00F73E68" w:rsidRDefault="00000000">
            <w:pPr>
              <w:pStyle w:val="Default"/>
              <w:spacing w:after="60" w:line="264" w:lineRule="auto"/>
            </w:pPr>
            <w:r>
              <w:rPr>
                <w:rFonts w:ascii="Arial" w:eastAsia="Arial" w:hAnsi="Arial"/>
                <w:sz w:val="18"/>
              </w:rPr>
              <w:t>Results, clinical-stratum sections; Results, Sensitivity Analyses and Bias Assessment. Each synthesis summarizes the contributing trials, disease setting, comparator context, data maturity, and risk-of-bias profile.</w:t>
            </w:r>
          </w:p>
        </w:tc>
      </w:tr>
      <w:tr w:rsidR="00F73E68" w14:paraId="3F94F066" w14:textId="77777777">
        <w:trPr>
          <w:trHeight w:val="203"/>
          <w:jc w:val="center"/>
        </w:trPr>
        <w:tc>
          <w:tcPr>
            <w:tcW w:w="1668" w:type="dxa"/>
            <w:vMerge/>
            <w:tcBorders>
              <w:left w:val="single" w:sz="4" w:space="0" w:color="000000"/>
              <w:right w:val="single" w:sz="4" w:space="0" w:color="000000"/>
            </w:tcBorders>
          </w:tcPr>
          <w:p w14:paraId="0A10DF88" w14:textId="77777777" w:rsidR="00F73E68" w:rsidRDefault="00F73E68">
            <w:pPr>
              <w:pStyle w:val="Default"/>
              <w:spacing w:before="40" w:after="40"/>
              <w:rPr>
                <w:rFonts w:ascii="Arial" w:hAnsi="Arial" w:cs="Arial"/>
                <w:sz w:val="18"/>
                <w:szCs w:val="18"/>
              </w:rPr>
            </w:pP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445C1CD4"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20b</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1CCAC23E"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298A741B" w14:textId="77777777" w:rsidR="00F73E68" w:rsidRDefault="00000000">
            <w:pPr>
              <w:pStyle w:val="Default"/>
              <w:spacing w:after="60" w:line="264" w:lineRule="auto"/>
            </w:pPr>
            <w:r>
              <w:rPr>
                <w:rFonts w:ascii="Arial" w:eastAsia="Arial" w:hAnsi="Arial"/>
                <w:sz w:val="18"/>
              </w:rPr>
              <w:t>Results, clinical-stratum sections; Figures 2-4; Supplement 1, eTables 6, 8, 9, and 11 and eFigures 1-8. Statistical syntheses report pooled HRs or RRs with 95% CIs and direction of effect across late-line mCRPC, taxane-naive mCRPC, docetaxel-comparator mCRPC, mHSPC, oligometastatic/oligorecurrent HSPC, and safety outcomes.</w:t>
            </w:r>
          </w:p>
        </w:tc>
      </w:tr>
      <w:tr w:rsidR="00F73E68" w14:paraId="13A1B838" w14:textId="77777777">
        <w:trPr>
          <w:trHeight w:val="48"/>
          <w:jc w:val="center"/>
        </w:trPr>
        <w:tc>
          <w:tcPr>
            <w:tcW w:w="1668" w:type="dxa"/>
            <w:vMerge/>
            <w:tcBorders>
              <w:left w:val="single" w:sz="4" w:space="0" w:color="000000"/>
              <w:right w:val="single" w:sz="4" w:space="0" w:color="000000"/>
            </w:tcBorders>
          </w:tcPr>
          <w:p w14:paraId="4FD7428F" w14:textId="77777777" w:rsidR="00F73E68" w:rsidRDefault="00F73E68">
            <w:pPr>
              <w:pStyle w:val="Default"/>
              <w:spacing w:before="40" w:after="40"/>
              <w:rPr>
                <w:rFonts w:ascii="Arial" w:hAnsi="Arial" w:cs="Arial"/>
                <w:sz w:val="18"/>
                <w:szCs w:val="18"/>
              </w:rPr>
            </w:pP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1021490F"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20c</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67FC8782"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5DE775DE" w14:textId="77777777" w:rsidR="00F73E68" w:rsidRDefault="00000000">
            <w:pPr>
              <w:pStyle w:val="Default"/>
              <w:spacing w:after="60" w:line="264" w:lineRule="auto"/>
            </w:pPr>
            <w:r>
              <w:rPr>
                <w:rFonts w:ascii="Arial" w:eastAsia="Arial" w:hAnsi="Arial"/>
                <w:sz w:val="18"/>
              </w:rPr>
              <w:t>Results, Treatment-Effect Modification; Figures 2-3; Supplement 1, eTable 11 and eFigure 7. Prespecified interaction analyses evaluate comparator type, treatment line, hormone-sensitive versus castration-resistant disease state, and oligometastatic/oligorecurrent versus metastatic hormone-sensitive settings.</w:t>
            </w:r>
          </w:p>
        </w:tc>
      </w:tr>
      <w:tr w:rsidR="00F73E68" w14:paraId="32E4A6DB" w14:textId="77777777">
        <w:trPr>
          <w:trHeight w:val="48"/>
          <w:jc w:val="center"/>
        </w:trPr>
        <w:tc>
          <w:tcPr>
            <w:tcW w:w="1668" w:type="dxa"/>
            <w:vMerge/>
            <w:tcBorders>
              <w:left w:val="single" w:sz="4" w:space="0" w:color="000000"/>
              <w:bottom w:val="single" w:sz="4" w:space="0" w:color="000000"/>
              <w:right w:val="single" w:sz="4" w:space="0" w:color="000000"/>
            </w:tcBorders>
          </w:tcPr>
          <w:p w14:paraId="3E24E568" w14:textId="77777777" w:rsidR="00F73E68" w:rsidRDefault="00F73E68">
            <w:pPr>
              <w:pStyle w:val="Default"/>
              <w:spacing w:before="40" w:after="40"/>
              <w:rPr>
                <w:rFonts w:ascii="Arial" w:hAnsi="Arial" w:cs="Arial"/>
                <w:sz w:val="18"/>
                <w:szCs w:val="18"/>
              </w:rPr>
            </w:pP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28818EF0"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20d</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0D5563F5"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1FE86E85" w14:textId="77777777" w:rsidR="00F73E68" w:rsidRDefault="00000000">
            <w:pPr>
              <w:pStyle w:val="Default"/>
              <w:spacing w:after="60" w:line="264" w:lineRule="auto"/>
            </w:pPr>
            <w:r>
              <w:rPr>
                <w:rFonts w:ascii="Arial" w:eastAsia="Arial" w:hAnsi="Arial"/>
                <w:sz w:val="18"/>
              </w:rPr>
              <w:t>Results, Sensitivity Analyses and Bias Assessment; Supplement 1, eTable 11. Sensitivity analyses were consistent with the primary findings, including analyses excluding conference-only or presentation-only datasets when sufficient peer-reviewed evidence remained.</w:t>
            </w:r>
          </w:p>
        </w:tc>
      </w:tr>
      <w:tr w:rsidR="00F73E68" w14:paraId="69BA1821" w14:textId="77777777">
        <w:trPr>
          <w:trHeight w:val="48"/>
          <w:jc w:val="center"/>
        </w:trPr>
        <w:tc>
          <w:tcPr>
            <w:tcW w:w="1800"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08E1DE6D"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Reporting biases</w:t>
            </w: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5C1EBE48"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21</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2276C353"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41300199" w14:textId="77777777" w:rsidR="00F73E68" w:rsidRDefault="00000000">
            <w:pPr>
              <w:pStyle w:val="Default"/>
              <w:spacing w:after="60" w:line="264" w:lineRule="auto"/>
            </w:pPr>
            <w:r>
              <w:rPr>
                <w:rFonts w:ascii="Arial" w:eastAsia="Arial" w:hAnsi="Arial"/>
                <w:sz w:val="18"/>
              </w:rPr>
              <w:t>Results, Sensitivity Analyses and Bias Assessment; Supplement 1, eFigures 9-10. Funnel plots showed no evident asymmetry, and Egger regression for the overall PFS/rPFS analysis was not statistically significant.</w:t>
            </w:r>
          </w:p>
        </w:tc>
      </w:tr>
      <w:tr w:rsidR="00F73E68" w14:paraId="3D542055" w14:textId="77777777">
        <w:trPr>
          <w:trHeight w:val="48"/>
          <w:jc w:val="center"/>
        </w:trPr>
        <w:tc>
          <w:tcPr>
            <w:tcW w:w="1800"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233CAA1E"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 xml:space="preserve">Certainty of evidence </w:t>
            </w: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69570B9A"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22</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4B64F075"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7A69865A" w14:textId="77777777" w:rsidR="00F73E68" w:rsidRDefault="00000000">
            <w:pPr>
              <w:pStyle w:val="Default"/>
              <w:spacing w:after="60" w:line="264" w:lineRule="auto"/>
            </w:pPr>
            <w:r>
              <w:rPr>
                <w:rFonts w:ascii="Arial" w:eastAsia="Arial" w:hAnsi="Arial"/>
                <w:sz w:val="18"/>
              </w:rPr>
              <w:t>Results, Sensitivity Analyses and Bias Assessment; Discussion, limitations paragraph. No formal GRADE certainty ratings were reported; the manuscript presents RoB 2 judgments, sensitivity analyses, and data-maturity qualifications to support evidence interpretation.</w:t>
            </w:r>
          </w:p>
        </w:tc>
      </w:tr>
      <w:tr w:rsidR="00F73E68" w14:paraId="796C6948" w14:textId="77777777">
        <w:trPr>
          <w:trHeight w:val="24"/>
          <w:jc w:val="center"/>
        </w:trPr>
        <w:tc>
          <w:tcPr>
            <w:tcW w:w="5112" w:type="dxa"/>
            <w:gridSpan w:val="3"/>
            <w:tcBorders>
              <w:top w:val="single" w:sz="6" w:space="0" w:color="6F6F6F"/>
              <w:left w:val="single" w:sz="6" w:space="0" w:color="6F6F6F"/>
              <w:bottom w:val="single" w:sz="6" w:space="0" w:color="6F6F6F"/>
              <w:right w:val="single" w:sz="6" w:space="0" w:color="6F6F6F"/>
            </w:tcBorders>
            <w:shd w:val="clear" w:color="auto" w:fill="FFFFCC"/>
            <w:tcMar>
              <w:top w:w="100" w:type="dxa"/>
              <w:left w:w="130" w:type="dxa"/>
              <w:bottom w:w="100" w:type="dxa"/>
              <w:right w:w="130" w:type="dxa"/>
            </w:tcMar>
          </w:tcPr>
          <w:p w14:paraId="5F693D9C" w14:textId="77777777" w:rsidR="00F73E68" w:rsidRDefault="00000000">
            <w:pPr>
              <w:pStyle w:val="Default"/>
              <w:spacing w:after="50" w:line="259" w:lineRule="auto"/>
              <w:rPr>
                <w:rFonts w:ascii="Arial" w:hAnsi="Arial" w:cs="Arial"/>
                <w:sz w:val="18"/>
                <w:szCs w:val="18"/>
              </w:rPr>
            </w:pPr>
            <w:r>
              <w:rPr>
                <w:rFonts w:ascii="Arial" w:hAnsi="Arial" w:cs="Arial"/>
                <w:b/>
                <w:bCs/>
                <w:sz w:val="18"/>
                <w:szCs w:val="18"/>
              </w:rPr>
              <w:t xml:space="preserve">DISCUSSION </w:t>
            </w:r>
          </w:p>
        </w:tc>
        <w:tc>
          <w:tcPr>
            <w:tcW w:w="7833" w:type="dxa"/>
            <w:tcBorders>
              <w:top w:val="single" w:sz="6" w:space="0" w:color="6F6F6F"/>
              <w:left w:val="single" w:sz="6" w:space="0" w:color="6F6F6F"/>
              <w:bottom w:val="single" w:sz="6" w:space="0" w:color="6F6F6F"/>
              <w:right w:val="single" w:sz="6" w:space="0" w:color="6F6F6F"/>
            </w:tcBorders>
            <w:shd w:val="clear" w:color="auto" w:fill="FFFFCC"/>
            <w:tcMar>
              <w:top w:w="100" w:type="dxa"/>
              <w:left w:w="130" w:type="dxa"/>
              <w:bottom w:w="100" w:type="dxa"/>
              <w:right w:w="130" w:type="dxa"/>
            </w:tcMar>
          </w:tcPr>
          <w:p w14:paraId="636D769E" w14:textId="77777777" w:rsidR="00F73E68" w:rsidRDefault="00F73E68">
            <w:pPr>
              <w:pStyle w:val="Default"/>
              <w:spacing w:after="60" w:line="264" w:lineRule="auto"/>
              <w:rPr>
                <w:rFonts w:ascii="Arial" w:hAnsi="Arial" w:cs="Arial"/>
                <w:color w:val="auto"/>
                <w:sz w:val="18"/>
                <w:szCs w:val="18"/>
              </w:rPr>
            </w:pPr>
          </w:p>
        </w:tc>
      </w:tr>
      <w:tr w:rsidR="00F73E68" w14:paraId="7316976C" w14:textId="77777777">
        <w:trPr>
          <w:trHeight w:val="48"/>
          <w:jc w:val="center"/>
        </w:trPr>
        <w:tc>
          <w:tcPr>
            <w:tcW w:w="1800" w:type="dxa"/>
            <w:vMerge w:val="restart"/>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4F0FDFD9"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 xml:space="preserve">Discussion </w:t>
            </w: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2F0B68DE"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23a</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63C2C8BD"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Provide a general interpretation of the results in the context of other evidence.</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429BEE6D" w14:textId="77777777" w:rsidR="00F73E68" w:rsidRDefault="00000000">
            <w:pPr>
              <w:pStyle w:val="Default"/>
              <w:spacing w:after="60" w:line="264" w:lineRule="auto"/>
            </w:pPr>
            <w:r>
              <w:rPr>
                <w:rFonts w:ascii="Arial" w:eastAsia="Arial" w:hAnsi="Arial"/>
                <w:sz w:val="18"/>
              </w:rPr>
              <w:t>Discussion, paragraphs 1-4. Results are interpreted in relation to late-line VISION and TheraP evidence, earlier taxane-naive mCRPC trials, docetaxel and ARPI-switch comparator contexts, mHSPC intensification trials, oligometastatic/oligorecurrent evidence, and biologic/clinical patient-selection considerations.</w:t>
            </w:r>
          </w:p>
        </w:tc>
      </w:tr>
      <w:tr w:rsidR="00F73E68" w14:paraId="0D908E36" w14:textId="77777777">
        <w:trPr>
          <w:trHeight w:val="48"/>
          <w:jc w:val="center"/>
        </w:trPr>
        <w:tc>
          <w:tcPr>
            <w:tcW w:w="1668" w:type="dxa"/>
            <w:vMerge/>
            <w:tcBorders>
              <w:left w:val="single" w:sz="4" w:space="0" w:color="000000"/>
              <w:right w:val="single" w:sz="4" w:space="0" w:color="000000"/>
            </w:tcBorders>
          </w:tcPr>
          <w:p w14:paraId="44BC038B" w14:textId="77777777" w:rsidR="00F73E68" w:rsidRDefault="00F73E68">
            <w:pPr>
              <w:pStyle w:val="Default"/>
              <w:spacing w:before="40" w:after="40"/>
              <w:rPr>
                <w:rFonts w:ascii="Arial" w:hAnsi="Arial" w:cs="Arial"/>
                <w:sz w:val="18"/>
                <w:szCs w:val="18"/>
              </w:rPr>
            </w:pP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7BE0C854"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23b</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797240BD"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Discuss any limitations of the evidence included in the review.</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2F2A872D" w14:textId="77777777" w:rsidR="00F73E68" w:rsidRDefault="00000000">
            <w:pPr>
              <w:pStyle w:val="Default"/>
              <w:spacing w:after="60" w:line="264" w:lineRule="auto"/>
            </w:pPr>
            <w:r>
              <w:rPr>
                <w:rFonts w:ascii="Arial" w:eastAsia="Arial" w:hAnsi="Arial"/>
                <w:sz w:val="18"/>
              </w:rPr>
              <w:t>Discussion, limitations paragraph. Limitations of the evidence include immature or conference-reported datasets, phase 2 trials in several settings, heterogeneous endpoints and comparators, limited OS maturity in earlier disease, and incomplete reporting of some patient-reported and safety outcomes.</w:t>
            </w:r>
          </w:p>
        </w:tc>
      </w:tr>
      <w:tr w:rsidR="00F73E68" w14:paraId="7D278487" w14:textId="77777777">
        <w:trPr>
          <w:trHeight w:val="48"/>
          <w:jc w:val="center"/>
        </w:trPr>
        <w:tc>
          <w:tcPr>
            <w:tcW w:w="1668" w:type="dxa"/>
            <w:vMerge/>
            <w:tcBorders>
              <w:left w:val="single" w:sz="4" w:space="0" w:color="000000"/>
              <w:right w:val="single" w:sz="4" w:space="0" w:color="000000"/>
            </w:tcBorders>
          </w:tcPr>
          <w:p w14:paraId="7DAC5E51" w14:textId="77777777" w:rsidR="00F73E68" w:rsidRDefault="00F73E68">
            <w:pPr>
              <w:pStyle w:val="Default"/>
              <w:spacing w:before="40" w:after="40"/>
              <w:rPr>
                <w:rFonts w:ascii="Arial" w:hAnsi="Arial" w:cs="Arial"/>
                <w:sz w:val="18"/>
                <w:szCs w:val="18"/>
              </w:rPr>
            </w:pP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58AB4C2D"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23c</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3E9632D7"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Discuss any limitations of the review processes used.</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23292970" w14:textId="77777777" w:rsidR="00F73E68" w:rsidRDefault="00000000">
            <w:pPr>
              <w:pStyle w:val="Default"/>
              <w:spacing w:after="60" w:line="264" w:lineRule="auto"/>
            </w:pPr>
            <w:r>
              <w:rPr>
                <w:rFonts w:ascii="Arial" w:eastAsia="Arial" w:hAnsi="Arial"/>
                <w:sz w:val="18"/>
              </w:rPr>
              <w:t>Discussion, limitations paragraph. Review-process limitations include reliance on study-level aggregate data, inability to adjust for PSMA PET uptake, FDG-discordant disease, tumor volume, visceral metastases, marrow reserve, crossover, or subsequent therapy, and the need to interpret cross-continuum pooling as exploratory.</w:t>
            </w:r>
          </w:p>
        </w:tc>
      </w:tr>
      <w:tr w:rsidR="00F73E68" w14:paraId="4C222706" w14:textId="77777777">
        <w:trPr>
          <w:trHeight w:val="48"/>
          <w:jc w:val="center"/>
        </w:trPr>
        <w:tc>
          <w:tcPr>
            <w:tcW w:w="1668" w:type="dxa"/>
            <w:vMerge/>
            <w:tcBorders>
              <w:left w:val="single" w:sz="4" w:space="0" w:color="000000"/>
              <w:bottom w:val="single" w:sz="4" w:space="0" w:color="auto"/>
              <w:right w:val="single" w:sz="4" w:space="0" w:color="000000"/>
            </w:tcBorders>
          </w:tcPr>
          <w:p w14:paraId="70141CE3" w14:textId="77777777" w:rsidR="00F73E68" w:rsidRDefault="00F73E68">
            <w:pPr>
              <w:pStyle w:val="Default"/>
              <w:spacing w:before="40" w:after="40"/>
              <w:rPr>
                <w:rFonts w:ascii="Arial" w:hAnsi="Arial" w:cs="Arial"/>
                <w:sz w:val="18"/>
                <w:szCs w:val="18"/>
              </w:rPr>
            </w:pP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4EA51565"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23d</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2E3290F2"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 xml:space="preserve">Discuss implications of the results for practice, policy, and </w:t>
            </w:r>
            <w:r>
              <w:rPr>
                <w:rFonts w:ascii="Arial" w:hAnsi="Arial" w:cs="Arial"/>
                <w:sz w:val="18"/>
                <w:szCs w:val="18"/>
              </w:rPr>
              <w:lastRenderedPageBreak/>
              <w:t>future research.</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64EF51CE" w14:textId="77777777" w:rsidR="00F73E68" w:rsidRDefault="00000000">
            <w:pPr>
              <w:pStyle w:val="Default"/>
              <w:spacing w:after="60" w:line="264" w:lineRule="auto"/>
            </w:pPr>
            <w:r>
              <w:rPr>
                <w:rFonts w:ascii="Arial" w:eastAsia="Arial" w:hAnsi="Arial"/>
                <w:sz w:val="18"/>
              </w:rPr>
              <w:lastRenderedPageBreak/>
              <w:t xml:space="preserve">Discussion, final paragraphs; Conclusion; Figures 2-4. Implications are framed as selective </w:t>
            </w:r>
            <w:r>
              <w:rPr>
                <w:rFonts w:ascii="Arial" w:eastAsia="Arial" w:hAnsi="Arial"/>
                <w:sz w:val="18"/>
              </w:rPr>
              <w:lastRenderedPageBreak/>
              <w:t>treatment migration: strongest support after ARPI progression and before taxane therapy, no current support for replacing docetaxel, and promising but immature hormone-sensitive and oligometastatic evidence awaiting mature survival data.</w:t>
            </w:r>
          </w:p>
        </w:tc>
      </w:tr>
      <w:tr w:rsidR="00F73E68" w14:paraId="653BC3A0" w14:textId="77777777">
        <w:trPr>
          <w:trHeight w:val="24"/>
          <w:jc w:val="center"/>
        </w:trPr>
        <w:tc>
          <w:tcPr>
            <w:tcW w:w="5112" w:type="dxa"/>
            <w:gridSpan w:val="3"/>
            <w:tcBorders>
              <w:top w:val="single" w:sz="6" w:space="0" w:color="6F6F6F"/>
              <w:left w:val="single" w:sz="6" w:space="0" w:color="6F6F6F"/>
              <w:bottom w:val="single" w:sz="6" w:space="0" w:color="6F6F6F"/>
              <w:right w:val="single" w:sz="6" w:space="0" w:color="6F6F6F"/>
            </w:tcBorders>
            <w:shd w:val="clear" w:color="auto" w:fill="FFFFCC"/>
            <w:tcMar>
              <w:top w:w="100" w:type="dxa"/>
              <w:left w:w="130" w:type="dxa"/>
              <w:bottom w:w="100" w:type="dxa"/>
              <w:right w:w="130" w:type="dxa"/>
            </w:tcMar>
          </w:tcPr>
          <w:p w14:paraId="553FED31" w14:textId="77777777" w:rsidR="00F73E68" w:rsidRDefault="00000000">
            <w:pPr>
              <w:pStyle w:val="Default"/>
              <w:spacing w:after="50" w:line="259" w:lineRule="auto"/>
              <w:rPr>
                <w:rFonts w:ascii="Arial" w:hAnsi="Arial" w:cs="Arial"/>
                <w:sz w:val="18"/>
                <w:szCs w:val="18"/>
              </w:rPr>
            </w:pPr>
            <w:r>
              <w:rPr>
                <w:rFonts w:ascii="Arial" w:hAnsi="Arial" w:cs="Arial"/>
                <w:b/>
                <w:bCs/>
                <w:sz w:val="18"/>
                <w:szCs w:val="18"/>
              </w:rPr>
              <w:lastRenderedPageBreak/>
              <w:t>OTHER INFORMATION</w:t>
            </w:r>
          </w:p>
        </w:tc>
        <w:tc>
          <w:tcPr>
            <w:tcW w:w="7833" w:type="dxa"/>
            <w:tcBorders>
              <w:top w:val="single" w:sz="6" w:space="0" w:color="6F6F6F"/>
              <w:left w:val="single" w:sz="6" w:space="0" w:color="6F6F6F"/>
              <w:bottom w:val="single" w:sz="6" w:space="0" w:color="6F6F6F"/>
              <w:right w:val="single" w:sz="6" w:space="0" w:color="6F6F6F"/>
            </w:tcBorders>
            <w:shd w:val="clear" w:color="auto" w:fill="FFFFCC"/>
            <w:tcMar>
              <w:top w:w="100" w:type="dxa"/>
              <w:left w:w="130" w:type="dxa"/>
              <w:bottom w:w="100" w:type="dxa"/>
              <w:right w:w="130" w:type="dxa"/>
            </w:tcMar>
          </w:tcPr>
          <w:p w14:paraId="107B4CBE" w14:textId="77777777" w:rsidR="00F73E68" w:rsidRDefault="00F73E68">
            <w:pPr>
              <w:pStyle w:val="Default"/>
              <w:spacing w:after="60" w:line="264" w:lineRule="auto"/>
              <w:rPr>
                <w:rFonts w:ascii="Arial" w:hAnsi="Arial" w:cs="Arial"/>
                <w:color w:val="auto"/>
                <w:sz w:val="18"/>
                <w:szCs w:val="18"/>
              </w:rPr>
            </w:pPr>
          </w:p>
        </w:tc>
      </w:tr>
      <w:tr w:rsidR="00F73E68" w14:paraId="61FB96BC" w14:textId="77777777">
        <w:trPr>
          <w:trHeight w:val="48"/>
          <w:jc w:val="center"/>
        </w:trPr>
        <w:tc>
          <w:tcPr>
            <w:tcW w:w="1800" w:type="dxa"/>
            <w:vMerge w:val="restart"/>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40CCD094"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Registration and protocol</w:t>
            </w: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0C6A967C"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24a</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701BC8EB"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74F7D036" w14:textId="77777777" w:rsidR="00F73E68" w:rsidRDefault="00000000">
            <w:pPr>
              <w:pStyle w:val="Default"/>
              <w:spacing w:after="60" w:line="264" w:lineRule="auto"/>
            </w:pPr>
            <w:r>
              <w:rPr>
                <w:rFonts w:ascii="Arial" w:eastAsia="Arial" w:hAnsi="Arial"/>
                <w:sz w:val="18"/>
              </w:rPr>
              <w:t>Methods, Reporting and Protocol. The review was registered in PROSPERO (CRD420261430865).</w:t>
            </w:r>
          </w:p>
        </w:tc>
      </w:tr>
      <w:tr w:rsidR="00F73E68" w14:paraId="50DDCB1E" w14:textId="77777777">
        <w:trPr>
          <w:trHeight w:val="57"/>
          <w:jc w:val="center"/>
        </w:trPr>
        <w:tc>
          <w:tcPr>
            <w:tcW w:w="1668" w:type="dxa"/>
            <w:vMerge/>
            <w:tcBorders>
              <w:left w:val="single" w:sz="4" w:space="0" w:color="000000"/>
              <w:right w:val="single" w:sz="4" w:space="0" w:color="000000"/>
            </w:tcBorders>
          </w:tcPr>
          <w:p w14:paraId="0BD29287" w14:textId="77777777" w:rsidR="00F73E68" w:rsidRDefault="00F73E68">
            <w:pPr>
              <w:pStyle w:val="Default"/>
              <w:spacing w:before="40" w:after="40"/>
              <w:rPr>
                <w:rFonts w:ascii="Arial" w:hAnsi="Arial" w:cs="Arial"/>
                <w:sz w:val="18"/>
                <w:szCs w:val="18"/>
              </w:rPr>
            </w:pP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284BEB8F"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24b</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03988E5E"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0E9A4F38" w14:textId="77777777" w:rsidR="00F73E68" w:rsidRDefault="00000000">
            <w:pPr>
              <w:pStyle w:val="Default"/>
              <w:spacing w:after="60" w:line="264" w:lineRule="auto"/>
            </w:pPr>
            <w:r>
              <w:rPr>
                <w:rFonts w:ascii="Arial" w:eastAsia="Arial" w:hAnsi="Arial"/>
                <w:sz w:val="18"/>
              </w:rPr>
              <w:t>Methods, Reporting and Protocol. The protocol was registered in PROSPERO under CRD420261430865 and can be accessed through the PROSPERO registry.</w:t>
            </w:r>
          </w:p>
        </w:tc>
      </w:tr>
      <w:tr w:rsidR="00F73E68" w14:paraId="69F7FD0B" w14:textId="77777777">
        <w:trPr>
          <w:trHeight w:val="48"/>
          <w:jc w:val="center"/>
        </w:trPr>
        <w:tc>
          <w:tcPr>
            <w:tcW w:w="1668" w:type="dxa"/>
            <w:vMerge/>
            <w:tcBorders>
              <w:left w:val="single" w:sz="4" w:space="0" w:color="000000"/>
              <w:bottom w:val="single" w:sz="4" w:space="0" w:color="000000"/>
              <w:right w:val="single" w:sz="4" w:space="0" w:color="000000"/>
            </w:tcBorders>
          </w:tcPr>
          <w:p w14:paraId="67C62B71" w14:textId="77777777" w:rsidR="00F73E68" w:rsidRDefault="00F73E68">
            <w:pPr>
              <w:pStyle w:val="Default"/>
              <w:spacing w:before="40" w:after="40"/>
              <w:rPr>
                <w:rFonts w:ascii="Arial" w:hAnsi="Arial" w:cs="Arial"/>
                <w:sz w:val="18"/>
                <w:szCs w:val="18"/>
              </w:rPr>
            </w:pP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387D7D52"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24c</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413D8283"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6FC4BF9E" w14:textId="77777777" w:rsidR="00F73E68" w:rsidRDefault="00000000">
            <w:pPr>
              <w:pStyle w:val="Default"/>
              <w:spacing w:after="60" w:line="264" w:lineRule="auto"/>
            </w:pPr>
            <w:r>
              <w:rPr>
                <w:rFonts w:ascii="Arial" w:eastAsia="Arial" w:hAnsi="Arial"/>
                <w:sz w:val="18"/>
              </w:rPr>
              <w:t>Methods, Reporting and Protocol; Methods, Data Synthesis. No protocol amendments affecting the primary interpretation are reported; sensitivity analyses and evidence-maturity distinctions are described in the Methods.</w:t>
            </w:r>
          </w:p>
        </w:tc>
      </w:tr>
      <w:tr w:rsidR="00F73E68" w14:paraId="43DFE3BB" w14:textId="77777777">
        <w:trPr>
          <w:trHeight w:val="48"/>
          <w:jc w:val="center"/>
        </w:trPr>
        <w:tc>
          <w:tcPr>
            <w:tcW w:w="1800"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69B37785"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Support</w:t>
            </w: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24FD1211"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25</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1BAAED78"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0764DF87" w14:textId="77777777" w:rsidR="00F73E68" w:rsidRDefault="00000000">
            <w:pPr>
              <w:pStyle w:val="Default"/>
              <w:spacing w:after="60" w:line="264" w:lineRule="auto"/>
            </w:pPr>
            <w:r>
              <w:rPr>
                <w:rFonts w:ascii="Arial" w:eastAsia="Arial" w:hAnsi="Arial"/>
                <w:sz w:val="18"/>
              </w:rPr>
              <w:t>Article Information, Funding/Support and Role of the Funder/Sponsor. Funding/support and the role of any funder or sponsor are reported in the manuscript or submission metadata.</w:t>
            </w:r>
          </w:p>
        </w:tc>
      </w:tr>
      <w:tr w:rsidR="00F73E68" w14:paraId="7B3B6C1B" w14:textId="77777777">
        <w:trPr>
          <w:trHeight w:val="48"/>
          <w:jc w:val="center"/>
        </w:trPr>
        <w:tc>
          <w:tcPr>
            <w:tcW w:w="1800"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7F3064C8"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Competing interests</w:t>
            </w: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7E97436A"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26</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0C0235F8"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Declare any competing interests of review authors.</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4BDD1354" w14:textId="77777777" w:rsidR="00F73E68" w:rsidRDefault="00000000">
            <w:pPr>
              <w:pStyle w:val="Default"/>
              <w:spacing w:after="60" w:line="264" w:lineRule="auto"/>
            </w:pPr>
            <w:r>
              <w:rPr>
                <w:rFonts w:ascii="Arial" w:eastAsia="Arial" w:hAnsi="Arial"/>
                <w:sz w:val="18"/>
              </w:rPr>
              <w:t>Article Information, Conflict of Interest Disclosures. Competing-interest disclosures for the review authors are reported in the manuscript or submission metadata.</w:t>
            </w:r>
          </w:p>
        </w:tc>
      </w:tr>
      <w:tr w:rsidR="00F73E68" w14:paraId="5C3F5D9C" w14:textId="77777777">
        <w:trPr>
          <w:trHeight w:val="219"/>
          <w:jc w:val="center"/>
        </w:trPr>
        <w:tc>
          <w:tcPr>
            <w:tcW w:w="1800"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31AF4BE9"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Availability of data, code and other materials</w:t>
            </w:r>
          </w:p>
        </w:tc>
        <w:tc>
          <w:tcPr>
            <w:tcW w:w="79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2CFFE61D" w14:textId="77777777" w:rsidR="00F73E68" w:rsidRDefault="00000000">
            <w:pPr>
              <w:pStyle w:val="Default"/>
              <w:spacing w:after="50" w:line="259" w:lineRule="auto"/>
              <w:jc w:val="right"/>
              <w:rPr>
                <w:rFonts w:ascii="Arial" w:hAnsi="Arial" w:cs="Arial"/>
                <w:sz w:val="18"/>
                <w:szCs w:val="18"/>
              </w:rPr>
            </w:pPr>
            <w:r>
              <w:rPr>
                <w:rFonts w:ascii="Arial" w:hAnsi="Arial" w:cs="Arial"/>
                <w:sz w:val="18"/>
                <w:szCs w:val="18"/>
              </w:rPr>
              <w:t>27</w:t>
            </w:r>
          </w:p>
        </w:tc>
        <w:tc>
          <w:tcPr>
            <w:tcW w:w="5112"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702BB069" w14:textId="77777777" w:rsidR="00F73E68" w:rsidRDefault="00000000">
            <w:pPr>
              <w:pStyle w:val="Default"/>
              <w:spacing w:after="50" w:line="259" w:lineRule="auto"/>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7833" w:type="dxa"/>
            <w:tcBorders>
              <w:top w:val="single" w:sz="6" w:space="0" w:color="6F6F6F"/>
              <w:left w:val="single" w:sz="6" w:space="0" w:color="6F6F6F"/>
              <w:bottom w:val="single" w:sz="6" w:space="0" w:color="6F6F6F"/>
              <w:right w:val="single" w:sz="6" w:space="0" w:color="6F6F6F"/>
            </w:tcBorders>
            <w:tcMar>
              <w:top w:w="100" w:type="dxa"/>
              <w:left w:w="130" w:type="dxa"/>
              <w:bottom w:w="100" w:type="dxa"/>
              <w:right w:w="130" w:type="dxa"/>
            </w:tcMar>
          </w:tcPr>
          <w:p w14:paraId="571BB018" w14:textId="77777777" w:rsidR="00F73E68" w:rsidRDefault="00000000">
            <w:pPr>
              <w:pStyle w:val="Default"/>
              <w:spacing w:after="60" w:line="264" w:lineRule="auto"/>
            </w:pPr>
            <w:r>
              <w:rPr>
                <w:rFonts w:ascii="Arial" w:eastAsia="Arial" w:hAnsi="Arial"/>
                <w:sz w:val="18"/>
              </w:rPr>
              <w:t>Article Information, Data Sharing Statement; Supplement 1, eTable 9; article and Supplement 1. Extracted summary data and the analysis-ready effect-size dataset used for forest plots are available in the article and Supplement 1; analytic code is not reported as publicly available unless provided separately.</w:t>
            </w:r>
          </w:p>
        </w:tc>
      </w:tr>
    </w:tbl>
    <w:p w14:paraId="05F72229" w14:textId="77777777" w:rsidR="00F73E68" w:rsidRDefault="00F73E68">
      <w:pPr>
        <w:pStyle w:val="Default"/>
        <w:rPr>
          <w:rFonts w:ascii="Arial" w:hAnsi="Arial" w:cs="Arial"/>
          <w:color w:val="auto"/>
        </w:rPr>
      </w:pPr>
    </w:p>
    <w:p w14:paraId="74E6355D" w14:textId="77777777" w:rsidR="00F73E68" w:rsidRDefault="00000000">
      <w:pPr>
        <w:pStyle w:val="Default"/>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 This work is licensed under CC BY 4.0. To view a copy of this license, visit </w:t>
      </w:r>
      <w:hyperlink r:id="rId6" w:history="1">
        <w:r w:rsidR="00F73E68">
          <w:rPr>
            <w:rStyle w:val="a5"/>
            <w:rFonts w:ascii="Arial" w:hAnsi="Arial" w:cs="Arial"/>
            <w:sz w:val="16"/>
            <w:szCs w:val="16"/>
          </w:rPr>
          <w:t>https://creativecommons.org/licenses/by/4.0/</w:t>
        </w:r>
      </w:hyperlink>
      <w:r>
        <w:rPr>
          <w:rFonts w:ascii="Arial" w:hAnsi="Arial" w:cs="Arial"/>
          <w:color w:val="auto"/>
          <w:sz w:val="16"/>
          <w:szCs w:val="16"/>
        </w:rPr>
        <w:t xml:space="preserve"> </w:t>
      </w:r>
    </w:p>
    <w:sectPr w:rsidR="00F73E68">
      <w:headerReference w:type="default" r:id="rId7"/>
      <w:pgSz w:w="16834" w:h="11909" w:orient="landscape"/>
      <w:pgMar w:top="648" w:right="648" w:bottom="648" w:left="6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1F62" w14:textId="77777777" w:rsidR="00DF494B" w:rsidRDefault="00DF494B">
      <w:r>
        <w:separator/>
      </w:r>
    </w:p>
  </w:endnote>
  <w:endnote w:type="continuationSeparator" w:id="0">
    <w:p w14:paraId="7AFB8393" w14:textId="77777777" w:rsidR="00DF494B" w:rsidRDefault="00DF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E2B6E" w14:textId="77777777" w:rsidR="00DF494B" w:rsidRDefault="00DF494B">
      <w:r>
        <w:separator/>
      </w:r>
    </w:p>
  </w:footnote>
  <w:footnote w:type="continuationSeparator" w:id="0">
    <w:p w14:paraId="146A748F" w14:textId="77777777" w:rsidR="00DF494B" w:rsidRDefault="00DF4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EEEB" w14:textId="77777777" w:rsidR="00F73E68" w:rsidRDefault="00000000">
    <w:pPr>
      <w:pStyle w:val="CM2"/>
      <w:ind w:left="720"/>
      <w:jc w:val="both"/>
      <w:rPr>
        <w:rFonts w:ascii="Lucida Sans" w:hAnsi="Lucida Sans"/>
        <w:sz w:val="20"/>
        <w:szCs w:val="20"/>
      </w:rPr>
    </w:pPr>
    <w:r>
      <w:rPr>
        <w:noProof/>
      </w:rPr>
      <w:drawing>
        <wp:anchor distT="0" distB="0" distL="114300" distR="114300" simplePos="0" relativeHeight="251659264" behindDoc="0" locked="0" layoutInCell="1" allowOverlap="1" wp14:anchorId="2A8843FA" wp14:editId="48A4A3EA">
          <wp:simplePos x="0" y="0"/>
          <wp:positionH relativeFrom="column">
            <wp:posOffset>0</wp:posOffset>
          </wp:positionH>
          <wp:positionV relativeFrom="paragraph">
            <wp:posOffset>-184150</wp:posOffset>
          </wp:positionV>
          <wp:extent cx="519430" cy="495300"/>
          <wp:effectExtent l="0" t="0" r="13970" b="7620"/>
          <wp:wrapSquare wrapText="bothSides"/>
          <wp:docPr id="1" name="图片 4" descr="Prisma-logo-Colour-white-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Prisma-logo-Colour-white-BG"/>
                  <pic:cNvPicPr>
                    <a:picLocks noChangeAspect="1"/>
                  </pic:cNvPicPr>
                </pic:nvPicPr>
                <pic:blipFill>
                  <a:blip r:embed="rId1"/>
                  <a:stretch>
                    <a:fillRect/>
                  </a:stretch>
                </pic:blipFill>
                <pic:spPr>
                  <a:xfrm>
                    <a:off x="0" y="0"/>
                    <a:ext cx="519430" cy="495300"/>
                  </a:xfrm>
                  <a:prstGeom prst="rect">
                    <a:avLst/>
                  </a:prstGeom>
                  <a:noFill/>
                  <a:ln>
                    <a:noFill/>
                  </a:ln>
                </pic:spPr>
              </pic:pic>
            </a:graphicData>
          </a:graphic>
        </wp:anchor>
      </w:drawing>
    </w:r>
    <w:r>
      <w:rPr>
        <w:rFonts w:ascii="Lucida Sans" w:hAnsi="Lucida Sans"/>
        <w:b/>
        <w:bCs/>
      </w:rPr>
      <w:t xml:space="preserve">     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080F7E"/>
    <w:rsid w:val="00150BE1"/>
    <w:rsid w:val="00152CDB"/>
    <w:rsid w:val="0018323E"/>
    <w:rsid w:val="00190C83"/>
    <w:rsid w:val="001B43A2"/>
    <w:rsid w:val="002275F3"/>
    <w:rsid w:val="00246C93"/>
    <w:rsid w:val="00256BAF"/>
    <w:rsid w:val="00276094"/>
    <w:rsid w:val="002A2A06"/>
    <w:rsid w:val="002F5A81"/>
    <w:rsid w:val="003103C2"/>
    <w:rsid w:val="0034532C"/>
    <w:rsid w:val="003516AD"/>
    <w:rsid w:val="00363B8D"/>
    <w:rsid w:val="003760FB"/>
    <w:rsid w:val="003B5953"/>
    <w:rsid w:val="003B79FF"/>
    <w:rsid w:val="003E5EC5"/>
    <w:rsid w:val="00400A0B"/>
    <w:rsid w:val="004033C1"/>
    <w:rsid w:val="0041699E"/>
    <w:rsid w:val="00443C1D"/>
    <w:rsid w:val="00461576"/>
    <w:rsid w:val="004939EB"/>
    <w:rsid w:val="004C1685"/>
    <w:rsid w:val="004E0A7C"/>
    <w:rsid w:val="005078EE"/>
    <w:rsid w:val="00550BF1"/>
    <w:rsid w:val="005660C4"/>
    <w:rsid w:val="0059028D"/>
    <w:rsid w:val="005979B8"/>
    <w:rsid w:val="005A190C"/>
    <w:rsid w:val="005B69F6"/>
    <w:rsid w:val="00640172"/>
    <w:rsid w:val="006E5FE2"/>
    <w:rsid w:val="006F3BA6"/>
    <w:rsid w:val="00726794"/>
    <w:rsid w:val="0075137B"/>
    <w:rsid w:val="0077253C"/>
    <w:rsid w:val="008412D5"/>
    <w:rsid w:val="008A3EAE"/>
    <w:rsid w:val="008E2C91"/>
    <w:rsid w:val="00930A31"/>
    <w:rsid w:val="00947707"/>
    <w:rsid w:val="009827E5"/>
    <w:rsid w:val="00A215D2"/>
    <w:rsid w:val="00A86593"/>
    <w:rsid w:val="00AA7598"/>
    <w:rsid w:val="00AB79CE"/>
    <w:rsid w:val="00AE4BBD"/>
    <w:rsid w:val="00B51910"/>
    <w:rsid w:val="00B730D1"/>
    <w:rsid w:val="00C066EE"/>
    <w:rsid w:val="00C22710"/>
    <w:rsid w:val="00D95D84"/>
    <w:rsid w:val="00DC4F19"/>
    <w:rsid w:val="00DF494B"/>
    <w:rsid w:val="00E324A8"/>
    <w:rsid w:val="00E66E3A"/>
    <w:rsid w:val="00EB610E"/>
    <w:rsid w:val="00F67C14"/>
    <w:rsid w:val="00F73E68"/>
    <w:rsid w:val="00FB3483"/>
    <w:rsid w:val="00FF6807"/>
    <w:rsid w:val="12922832"/>
    <w:rsid w:val="16CF16F2"/>
    <w:rsid w:val="2A6033D4"/>
    <w:rsid w:val="30DF7B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3A4708"/>
  <w14:defaultImageDpi w14:val="300"/>
  <w15:docId w15:val="{B3248F83-A043-481F-BD3E-1285317C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lang w:val="en-CA" w:eastAsia="en-C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320"/>
        <w:tab w:val="right" w:pos="8640"/>
      </w:tabs>
    </w:pPr>
  </w:style>
  <w:style w:type="paragraph" w:styleId="a4">
    <w:name w:val="header"/>
    <w:basedOn w:val="a"/>
    <w:pPr>
      <w:tabs>
        <w:tab w:val="center" w:pos="4320"/>
        <w:tab w:val="right" w:pos="8640"/>
      </w:tabs>
    </w:pPr>
  </w:style>
  <w:style w:type="character" w:styleId="a5">
    <w:name w:val="Hyperlink"/>
    <w:qFormat/>
    <w:rPr>
      <w:color w:val="0563C1"/>
      <w:u w:val="single"/>
    </w:rPr>
  </w:style>
  <w:style w:type="paragraph" w:customStyle="1" w:styleId="Default">
    <w:name w:val="Default"/>
    <w:pPr>
      <w:widowControl w:val="0"/>
      <w:autoSpaceDE w:val="0"/>
      <w:autoSpaceDN w:val="0"/>
      <w:adjustRightInd w:val="0"/>
    </w:pPr>
    <w:rPr>
      <w:rFonts w:ascii="Calibri" w:eastAsia="Times New Roman" w:hAnsi="Calibri" w:cs="Calibri"/>
      <w:color w:val="000000"/>
      <w:sz w:val="24"/>
      <w:szCs w:val="24"/>
      <w:lang w:val="en-CA" w:eastAsia="en-CA"/>
    </w:rPr>
  </w:style>
  <w:style w:type="paragraph" w:customStyle="1" w:styleId="CM1">
    <w:name w:val="CM1"/>
    <w:basedOn w:val="Default"/>
    <w:next w:val="Default"/>
    <w:qFormat/>
    <w:rPr>
      <w:rFonts w:cs="Times New Roman"/>
      <w:color w:val="auto"/>
    </w:rPr>
  </w:style>
  <w:style w:type="paragraph" w:customStyle="1" w:styleId="CM2">
    <w:name w:val="CM2"/>
    <w:basedOn w:val="Default"/>
    <w:next w:val="Default"/>
    <w:pPr>
      <w:spacing w:after="373"/>
    </w:pPr>
    <w:rPr>
      <w:rFonts w:cs="Times New Roman"/>
      <w:color w:val="auto"/>
    </w:rPr>
  </w:style>
  <w:style w:type="character" w:customStyle="1" w:styleId="1">
    <w:name w:val="未处理的提及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2480</Words>
  <Characters>16053</Characters>
  <Application>Microsoft Office Word</Application>
  <DocSecurity>0</DocSecurity>
  <Lines>391</Lines>
  <Paragraphs>191</Paragraphs>
  <ScaleCrop>false</ScaleCrop>
  <Company/>
  <LinksUpToDate>false</LinksUpToDate>
  <CharactersWithSpaces>18342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creator>mocampo</dc:creator>
  <cp:lastModifiedBy>浩文 吴</cp:lastModifiedBy>
  <cp:revision>5</cp:revision>
  <cp:lastPrinted>2020-11-24T03:02:00Z</cp:lastPrinted>
  <dcterms:created xsi:type="dcterms:W3CDTF">2026-05-28T14:19:00Z</dcterms:created>
  <dcterms:modified xsi:type="dcterms:W3CDTF">2026-07-03T15:44:00Z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eyJoZGlkIjoiYjUwZTFlYzFhMGRmNjM5ZjJmM2U1MzQ1ODI2ZmMwMTIiLCJ1c2VySWQiOiI0MjMzNTU1NjQifQ==</vt:lpwstr>
  </property>
  <property fmtid="{D5CDD505-2E9C-101B-9397-08002B2CF9AE}" pid="3" name="KSOProductBuildVer">
    <vt:lpwstr>2052-12.1.0.26375</vt:lpwstr>
  </property>
  <property fmtid="{D5CDD505-2E9C-101B-9397-08002B2CF9AE}" pid="4" name="ICV">
    <vt:lpwstr>151E3D06210C4B6C85A097826FC12E5E_13</vt:lpwstr>
  </property>
</Properties>
</file>