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6ADF" w14:textId="6CD16B9D" w:rsidR="00283CF9" w:rsidRDefault="00283CF9" w:rsidP="00283CF9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legends</w:t>
      </w:r>
    </w:p>
    <w:p w14:paraId="4D64E0C7" w14:textId="77777777" w:rsidR="00283CF9" w:rsidRDefault="00283CF9" w:rsidP="00283CF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Figure 1. Covariate </w:t>
      </w:r>
      <w:proofErr w:type="gramStart"/>
      <w:r>
        <w:rPr>
          <w:rFonts w:ascii="Times New Roman" w:hAnsi="Times New Roman" w:cs="Times New Roman"/>
          <w:b/>
          <w:bCs/>
        </w:rPr>
        <w:t>overlap</w:t>
      </w:r>
      <w:proofErr w:type="gramEnd"/>
      <w:r>
        <w:rPr>
          <w:rFonts w:ascii="Times New Roman" w:hAnsi="Times New Roman" w:cs="Times New Roman"/>
          <w:b/>
          <w:bCs/>
        </w:rPr>
        <w:t xml:space="preserve"> and weight distribution.</w:t>
      </w:r>
      <w:r>
        <w:rPr>
          <w:rFonts w:ascii="Times New Roman" w:hAnsi="Times New Roman" w:cs="Times New Roman"/>
        </w:rPr>
        <w:t xml:space="preserve"> (A) Distribution of estimated propensity scores by treatment group, illustrating positivity/overlap; (B) distribution of CBPS weights in the no-surgery group.</w:t>
      </w:r>
    </w:p>
    <w:p w14:paraId="320FFE1F" w14:textId="77777777" w:rsidR="00283CF9" w:rsidRDefault="00283CF9" w:rsidP="00283CF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2. Covariate balance before and after CBPS weighting.</w:t>
      </w:r>
      <w:r>
        <w:rPr>
          <w:rFonts w:ascii="Times New Roman" w:hAnsi="Times New Roman" w:cs="Times New Roman"/>
        </w:rPr>
        <w:t xml:space="preserve"> Love plot of absolute standardized mean differences (SMD) for each covariate level before (unweighted) and after CBPS weighting; the dashed line marks the 0.10 threshold.</w:t>
      </w:r>
    </w:p>
    <w:p w14:paraId="2A94BE35" w14:textId="77777777" w:rsidR="00283CF9" w:rsidRDefault="00283CF9" w:rsidP="00283CF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3. Covariate balance after entropy balancing (sensitivity analysis).</w:t>
      </w:r>
      <w:r>
        <w:rPr>
          <w:rFonts w:ascii="Times New Roman" w:hAnsi="Times New Roman" w:cs="Times New Roman"/>
        </w:rPr>
        <w:t xml:space="preserve"> Love plot of absolute SMDs before and after entropy balancing.</w:t>
      </w:r>
    </w:p>
    <w:p w14:paraId="2751D404" w14:textId="77777777" w:rsidR="00283CF9" w:rsidRDefault="00283CF9" w:rsidP="00283CF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4. Covariate balance after 1:1 propensity-score matching (sensitivity analysis).</w:t>
      </w:r>
      <w:r>
        <w:rPr>
          <w:rFonts w:ascii="Times New Roman" w:hAnsi="Times New Roman" w:cs="Times New Roman"/>
        </w:rPr>
        <w:t xml:space="preserve"> Love plot of absolute SMDs before (unmatched) and after 1:1 PSM.</w:t>
      </w:r>
    </w:p>
    <w:p w14:paraId="093F725A" w14:textId="77777777" w:rsidR="00283CF9" w:rsidRDefault="00283CF9" w:rsidP="00283CF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5. Treatment effect across analytic approaches.</w:t>
      </w:r>
      <w:r>
        <w:rPr>
          <w:rFonts w:ascii="Times New Roman" w:hAnsi="Times New Roman" w:cs="Times New Roman"/>
        </w:rPr>
        <w:t xml:space="preserve"> Forest plot of the CN-versus-no-surgery hazard ratio (95% CI) for OS and CSS under the primary CBPS analysis and sensitivity analyses (1:1 PSM, entropy balancing, 3- and 6-month landmark analyses), with E-values for the primary estimate.</w:t>
      </w:r>
    </w:p>
    <w:p w14:paraId="178C59BA" w14:textId="77777777" w:rsidR="00283CF9" w:rsidRDefault="00283CF9" w:rsidP="00283CF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 1. Univariable (CBPS-weighted) Cox regression of treatment and prognostic factors (OS &amp; CSS).</w:t>
      </w:r>
      <w:r>
        <w:rPr>
          <w:rFonts w:ascii="Times New Roman" w:hAnsi="Times New Roman" w:cs="Times New Roman"/>
        </w:rPr>
        <w:t xml:space="preserve"> Weighted marginal associations for treatment (no surgery vs CN) and each covariate; mutually adjusted estimates are given in Table 3.</w:t>
      </w:r>
    </w:p>
    <w:p w14:paraId="66FBB2AE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F9"/>
    <w:rsid w:val="00283CF9"/>
    <w:rsid w:val="002B6A70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1C77F"/>
  <w15:chartTrackingRefBased/>
  <w15:docId w15:val="{278CEF9A-F50F-4EC7-A4A8-E728931C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CF9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CF9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CF9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CF9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CF9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CF9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CF9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CF9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CF9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CF9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CF9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83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CF9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83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CF9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83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CF9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283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CF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2026-07-23T15:07:00Z</dcterms:created>
  <dcterms:modified xsi:type="dcterms:W3CDTF">2026-07-23T15:07:00Z</dcterms:modified>
</cp:coreProperties>
</file>