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D3E12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Table 4. Competing-risk analysis (Fine–Gray) — subdistribution hazard ratios for cancer-specific and non-cancer death</w:t>
      </w:r>
    </w:p>
    <w:tbl>
      <w:tblPr>
        <w:tblStyle w:val="15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1"/>
        <w:gridCol w:w="1379"/>
        <w:gridCol w:w="2232"/>
        <w:gridCol w:w="1379"/>
        <w:gridCol w:w="2337"/>
      </w:tblGrid>
      <w:tr w14:paraId="6F7734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1471" w:type="dxa"/>
            <w:tcBorders>
              <w:top w:val="single" w:color="666666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70B3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1" w:type="dxa"/>
            <w:gridSpan w:val="2"/>
            <w:tcBorders>
              <w:top w:val="single" w:color="666666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AE84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Non-cancer deathᵃ</w:t>
            </w:r>
          </w:p>
        </w:tc>
        <w:tc>
          <w:tcPr>
            <w:tcW w:w="3716" w:type="dxa"/>
            <w:gridSpan w:val="2"/>
            <w:tcBorders>
              <w:top w:val="single" w:color="666666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1EB7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Cancer-specific deathᵃ</w:t>
            </w:r>
          </w:p>
        </w:tc>
      </w:tr>
      <w:tr w14:paraId="31BE3D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1471" w:type="dxa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1539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Treatment</w:t>
            </w:r>
          </w:p>
        </w:tc>
        <w:tc>
          <w:tcPr>
            <w:tcW w:w="1379" w:type="dxa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5880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Deaths (N)ᶜ</w:t>
            </w:r>
          </w:p>
        </w:tc>
        <w:tc>
          <w:tcPr>
            <w:tcW w:w="2232" w:type="dxa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35BDEE">
            <w:pPr>
              <w:rPr>
                <w:rFonts w:hint="eastAsia"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SHRᵇ (95% CI) </w:t>
            </w:r>
            <w:bookmarkStart w:id="0" w:name="OLE_LINK1"/>
            <w:r>
              <w:rPr>
                <w:rFonts w:ascii="Times New Roman" w:hAnsi="Times New Roman" w:cs="Times New Roman"/>
              </w:rPr>
              <w:t>P</w:t>
            </w:r>
            <w:r>
              <w:rPr>
                <w:rFonts w:hint="eastAsia" w:ascii="Times New Roman" w:hAnsi="Times New Roman" w:cs="Times New Roman"/>
              </w:rPr>
              <w:t>-value</w:t>
            </w:r>
            <w:bookmarkEnd w:id="0"/>
          </w:p>
        </w:tc>
        <w:tc>
          <w:tcPr>
            <w:tcW w:w="1379" w:type="dxa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C41E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Deaths (N)ᶜ</w:t>
            </w:r>
          </w:p>
        </w:tc>
        <w:tc>
          <w:tcPr>
            <w:tcW w:w="2337" w:type="dxa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CBCE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SHRᵇ (95% CI) P</w:t>
            </w:r>
            <w:r>
              <w:rPr>
                <w:rFonts w:hint="eastAsia" w:ascii="Times New Roman" w:hAnsi="Times New Roman" w:cs="Times New Roman"/>
              </w:rPr>
              <w:t>-value</w:t>
            </w:r>
          </w:p>
        </w:tc>
      </w:tr>
      <w:tr w14:paraId="06825F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71" w:type="dxa"/>
            <w:tcBorders>
              <w:top w:val="single" w:color="666666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3E9D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 surgery</w:t>
            </w:r>
          </w:p>
        </w:tc>
        <w:tc>
          <w:tcPr>
            <w:tcW w:w="1379" w:type="dxa"/>
            <w:tcBorders>
              <w:top w:val="single" w:color="666666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31E3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1,218</w:t>
            </w:r>
          </w:p>
        </w:tc>
        <w:tc>
          <w:tcPr>
            <w:tcW w:w="2232" w:type="dxa"/>
            <w:tcBorders>
              <w:top w:val="single" w:color="666666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F695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(Ref)</w:t>
            </w:r>
          </w:p>
        </w:tc>
        <w:tc>
          <w:tcPr>
            <w:tcW w:w="1379" w:type="dxa"/>
            <w:tcBorders>
              <w:top w:val="single" w:color="666666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E136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10,388</w:t>
            </w:r>
          </w:p>
        </w:tc>
        <w:tc>
          <w:tcPr>
            <w:tcW w:w="2337" w:type="dxa"/>
            <w:tcBorders>
              <w:top w:val="single" w:color="666666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E746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(Ref)</w:t>
            </w:r>
          </w:p>
        </w:tc>
      </w:tr>
      <w:tr w14:paraId="59B438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71" w:type="dxa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867C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Surgery</w:t>
            </w:r>
          </w:p>
        </w:tc>
        <w:tc>
          <w:tcPr>
            <w:tcW w:w="1379" w:type="dxa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64F1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585</w:t>
            </w:r>
          </w:p>
        </w:tc>
        <w:tc>
          <w:tcPr>
            <w:tcW w:w="2232" w:type="dxa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90E7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0.97 (0.78, 1.21) 0.814</w:t>
            </w:r>
          </w:p>
        </w:tc>
        <w:tc>
          <w:tcPr>
            <w:tcW w:w="1379" w:type="dxa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16C7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5,359</w:t>
            </w:r>
          </w:p>
        </w:tc>
        <w:tc>
          <w:tcPr>
            <w:tcW w:w="2337" w:type="dxa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00A4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0.51 (0.48, 0.55) &lt;0.001</w:t>
            </w:r>
          </w:p>
        </w:tc>
      </w:tr>
      <w:tr w14:paraId="6B658C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98" w:type="dxa"/>
            <w:gridSpan w:val="5"/>
            <w:tcBorders>
              <w:top w:val="single" w:color="666666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E7F9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ᵃ Competing-risks framework: cancer-specific death and non-cancer death are treated as competing events. Censoring at last follow-up or study end (December 2020).</w:t>
            </w:r>
          </w:p>
        </w:tc>
      </w:tr>
      <w:tr w14:paraId="739A0F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9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C527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ᵇ SHR, subdistribution hazard ratio from the Fine–Gray model (Fine &amp; Gray, J Am Stat Assoc 1999). Unlike the cause-specific HR, the SHR directly models the cumulative incidence function (CIF) shown in Figure 3. SHR &lt; 1 for cancer-specific death indicates CN is associated with a lower cumulative incidence of RCC mortality.</w:t>
            </w:r>
          </w:p>
        </w:tc>
      </w:tr>
      <w:tr w14:paraId="5115F8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9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5788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ᶜ Deaths (N) are observed (unweighted) event counts. The SHR is estimated on the </w:t>
            </w:r>
            <w:bookmarkStart w:id="1" w:name="_GoBack"/>
            <w:bookmarkEnd w:id="1"/>
            <w:r>
              <w:rPr>
                <w:rFonts w:hint="eastAsia" w:ascii="Times New Roman" w:hAnsi="Times New Roman" w:cs="Times New Roman"/>
                <w:lang w:eastAsia="zh-CN"/>
              </w:rPr>
              <w:t>CBPS</w:t>
            </w:r>
            <w:r>
              <w:rPr>
                <w:rFonts w:ascii="Times New Roman" w:hAnsi="Times New Roman" w:cs="Times New Roman"/>
              </w:rPr>
              <w:t>-weighted data.</w:t>
            </w:r>
          </w:p>
        </w:tc>
      </w:tr>
      <w:tr w14:paraId="6A712B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9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F3B4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Model specification: finegray() expands each subject into multiple pseudo-risk-set rows; cluster(id) is required to account for within-subject correlation and obtain correct robust standard errors (replacing cluster with plain robust would underestimate SE). Weights = product of Fine–Gray pseudo-observation weights × </w:t>
            </w:r>
            <w:r>
              <w:rPr>
                <w:rFonts w:hint="eastAsia" w:ascii="Times New Roman" w:hAnsi="Times New Roman" w:cs="Times New Roman"/>
                <w:lang w:eastAsia="zh-CN"/>
              </w:rPr>
              <w:t>CBPS</w:t>
            </w:r>
            <w:r>
              <w:rPr>
                <w:rFonts w:ascii="Times New Roman" w:hAnsi="Times New Roman" w:cs="Times New Roman"/>
              </w:rPr>
              <w:t xml:space="preserve"> weights (fgwt × ipw).</w:t>
            </w:r>
          </w:p>
        </w:tc>
      </w:tr>
      <w:tr w14:paraId="10CE4D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9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B04E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P_FG, two-sided Wald test of H₀: SHR = 1 for CN_f. Consistent with P_FG annotated on Figure 3 (CIF panels).</w:t>
            </w:r>
          </w:p>
        </w:tc>
      </w:tr>
      <w:tr w14:paraId="3D709E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9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83D4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Reference: No surgery. </w:t>
            </w:r>
          </w:p>
        </w:tc>
      </w:tr>
      <w:tr w14:paraId="7FCB13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" w:hRule="atLeast"/>
          <w:jc w:val="center"/>
        </w:trPr>
        <w:tc>
          <w:tcPr>
            <w:tcW w:w="879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8790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Abbreviations:CI, confidence interval; CSS, cancer-specific survival; HR, hazard ratio; NR, not reached; OS, overall survival; RCC, renal cell carcinoma; SHR, subdistribution hazard ratio; SMD, standardised mean difference.</w:t>
            </w:r>
          </w:p>
        </w:tc>
      </w:tr>
    </w:tbl>
    <w:p w14:paraId="4D4B7103">
      <w:pPr>
        <w:rPr>
          <w:rFonts w:ascii="Times New Roman" w:hAnsi="Times New Roman" w:cs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190F"/>
    <w:rsid w:val="0008247A"/>
    <w:rsid w:val="003A190F"/>
    <w:rsid w:val="00635EE8"/>
    <w:rsid w:val="007950E2"/>
    <w:rsid w:val="009F2991"/>
    <w:rsid w:val="00A449F4"/>
    <w:rsid w:val="00F30C54"/>
    <w:rsid w:val="49F21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</w:rPr>
  </w:style>
  <w:style w:type="paragraph" w:styleId="7">
    <w:name w:val="heading 6"/>
    <w:basedOn w:val="1"/>
    <w:next w:val="1"/>
    <w:link w:val="22"/>
    <w:semiHidden/>
    <w:unhideWhenUsed/>
    <w:qFormat/>
    <w:uiPriority w:val="9"/>
    <w:pPr>
      <w:keepNext/>
      <w:keepLines/>
      <w:spacing w:before="40" w:after="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3"/>
    <w:semiHidden/>
    <w:unhideWhenUsed/>
    <w:qFormat/>
    <w:uiPriority w:val="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4"/>
    <w:semiHidden/>
    <w:unhideWhenUsed/>
    <w:qFormat/>
    <w:uiPriority w:val="9"/>
    <w:pPr>
      <w:keepNext/>
      <w:keepLines/>
      <w:spacing w:after="0"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5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6">
    <w:name w:val="Default Paragraph Font"/>
    <w:unhideWhenUsed/>
    <w:uiPriority w:val="1"/>
  </w:style>
  <w:style w:type="table" w:default="1" w:styleId="1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6"/>
    <w:unhideWhenUsed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12">
    <w:name w:val="header"/>
    <w:basedOn w:val="1"/>
    <w:link w:val="35"/>
    <w:unhideWhenUsed/>
    <w:uiPriority w:val="9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7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6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7">
    <w:name w:val="标题 1 字符"/>
    <w:basedOn w:val="16"/>
    <w:link w:val="2"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8">
    <w:name w:val="标题 2 字符"/>
    <w:basedOn w:val="16"/>
    <w:link w:val="3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9">
    <w:name w:val="标题 3 字符"/>
    <w:basedOn w:val="16"/>
    <w:link w:val="4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0">
    <w:name w:val="标题 4 字符"/>
    <w:basedOn w:val="16"/>
    <w:link w:val="5"/>
    <w:semiHidden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1">
    <w:name w:val="标题 5 字符"/>
    <w:basedOn w:val="16"/>
    <w:link w:val="6"/>
    <w:semiHidden/>
    <w:uiPriority w:val="9"/>
    <w:rPr>
      <w:rFonts w:cstheme="majorBidi"/>
      <w:color w:val="104862" w:themeColor="accent1" w:themeShade="BF"/>
      <w:sz w:val="24"/>
    </w:rPr>
  </w:style>
  <w:style w:type="character" w:customStyle="1" w:styleId="22">
    <w:name w:val="标题 6 字符"/>
    <w:basedOn w:val="16"/>
    <w:link w:val="7"/>
    <w:semiHidden/>
    <w:uiPriority w:val="9"/>
    <w:rPr>
      <w:rFonts w:cstheme="majorBidi"/>
      <w:b/>
      <w:bCs/>
      <w:color w:val="104862" w:themeColor="accent1" w:themeShade="BF"/>
    </w:rPr>
  </w:style>
  <w:style w:type="character" w:customStyle="1" w:styleId="23">
    <w:name w:val="标题 7 字符"/>
    <w:basedOn w:val="16"/>
    <w:link w:val="8"/>
    <w:semiHidden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8 字符"/>
    <w:basedOn w:val="16"/>
    <w:link w:val="9"/>
    <w:semiHidden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9 字符"/>
    <w:basedOn w:val="16"/>
    <w:link w:val="10"/>
    <w:semiHidden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字符"/>
    <w:basedOn w:val="16"/>
    <w:link w:val="14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7">
    <w:name w:val="副标题 字符"/>
    <w:basedOn w:val="16"/>
    <w:link w:val="13"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8">
    <w:name w:val="Quote"/>
    <w:basedOn w:val="1"/>
    <w:next w:val="1"/>
    <w:link w:val="29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9">
    <w:name w:val="引用 字符"/>
    <w:basedOn w:val="16"/>
    <w:link w:val="28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0">
    <w:name w:val="List Paragraph"/>
    <w:basedOn w:val="1"/>
    <w:qFormat/>
    <w:uiPriority w:val="34"/>
    <w:pPr>
      <w:ind w:left="720"/>
      <w:contextualSpacing/>
    </w:pPr>
  </w:style>
  <w:style w:type="character" w:customStyle="1" w:styleId="31">
    <w:name w:val="Intense Emphasis"/>
    <w:basedOn w:val="16"/>
    <w:qFormat/>
    <w:uiPriority w:val="21"/>
    <w:rPr>
      <w:i/>
      <w:iCs/>
      <w:color w:val="104862" w:themeColor="accent1" w:themeShade="BF"/>
    </w:rPr>
  </w:style>
  <w:style w:type="paragraph" w:styleId="32">
    <w:name w:val="Intense Quote"/>
    <w:basedOn w:val="1"/>
    <w:next w:val="1"/>
    <w:link w:val="33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3">
    <w:name w:val="明显引用 字符"/>
    <w:basedOn w:val="16"/>
    <w:link w:val="32"/>
    <w:uiPriority w:val="30"/>
    <w:rPr>
      <w:i/>
      <w:iCs/>
      <w:color w:val="104862" w:themeColor="accent1" w:themeShade="BF"/>
    </w:rPr>
  </w:style>
  <w:style w:type="character" w:customStyle="1" w:styleId="34">
    <w:name w:val="Intense Reference"/>
    <w:basedOn w:val="16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5">
    <w:name w:val="页眉 字符"/>
    <w:basedOn w:val="16"/>
    <w:link w:val="12"/>
    <w:uiPriority w:val="99"/>
    <w:rPr>
      <w:sz w:val="18"/>
      <w:szCs w:val="18"/>
    </w:rPr>
  </w:style>
  <w:style w:type="character" w:customStyle="1" w:styleId="36">
    <w:name w:val="页脚 字符"/>
    <w:basedOn w:val="16"/>
    <w:link w:val="11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235</Words>
  <Characters>1398</Characters>
  <Lines>139</Lines>
  <Paragraphs>102</Paragraphs>
  <TotalTime>2</TotalTime>
  <ScaleCrop>false</ScaleCrop>
  <LinksUpToDate>false</LinksUpToDate>
  <CharactersWithSpaces>1609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2026-06-26T15:12:00Z</dcterms:created>
  <dc:creator>雄武 彭</dc:creator>
  <cp:lastModifiedBy>初心</cp:lastModifiedBy>
  <dcterms:modified xsi:type="dcterms:W3CDTF">2026-06-26T17:13:49Z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eyJoZGlkIjoiZjVjMzU5NzA5NjQyMDA2OTE0Y2UwMjhkYmI2NGNiOTciLCJ1c2VySWQiOiIyNTM4NzA0NjQifQ==</vt:lpwstr>
  </property>
  <property fmtid="{D5CDD505-2E9C-101B-9397-08002B2CF9AE}" pid="3" name="KSOProductBuildVer">
    <vt:lpwstr>2052-12.1.0.26895</vt:lpwstr>
  </property>
  <property fmtid="{D5CDD505-2E9C-101B-9397-08002B2CF9AE}" pid="4" name="ICV">
    <vt:lpwstr>958E9DDBD3354C70B2AB0CB04C74F2B5_12</vt:lpwstr>
  </property>
</Properties>
</file>