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932C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Table 1. Baseline characteristics of patients with metastatic RCC before and CBPS weighting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ascii="Times New Roman" w:hAnsi="Times New Roman" w:cs="Times New Roman"/>
        </w:rPr>
        <w:t>(N = 19974)</w:t>
      </w:r>
    </w:p>
    <w:tbl>
      <w:tblPr>
        <w:tblStyle w:val="13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0"/>
        <w:gridCol w:w="1460"/>
        <w:gridCol w:w="1371"/>
        <w:gridCol w:w="1080"/>
        <w:gridCol w:w="1255"/>
        <w:gridCol w:w="1080"/>
        <w:gridCol w:w="1080"/>
      </w:tblGrid>
      <w:tr w14:paraId="732DE0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2420" w:type="dxa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0F34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1" w:type="dxa"/>
            <w:gridSpan w:val="3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6BD9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Original cohort</w:t>
            </w:r>
          </w:p>
        </w:tc>
        <w:tc>
          <w:tcPr>
            <w:tcW w:w="3415" w:type="dxa"/>
            <w:gridSpan w:val="3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786E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Weighted cohort (CBPS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)ᵃ</w:t>
            </w:r>
          </w:p>
        </w:tc>
      </w:tr>
      <w:tr w14:paraId="74A1F8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2420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0150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Characteristic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7315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 surgery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CED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Surgery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F2AB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SMDᵇ</w:t>
            </w:r>
          </w:p>
        </w:tc>
        <w:tc>
          <w:tcPr>
            <w:tcW w:w="1255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A014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 surgery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509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Surgery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CBAC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SMDᵇ</w:t>
            </w:r>
          </w:p>
        </w:tc>
      </w:tr>
      <w:tr w14:paraId="211C2C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CD2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1460" w:type="dxa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7E8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1" w:type="dxa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5690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0506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0.48</w:t>
            </w:r>
          </w:p>
        </w:tc>
        <w:tc>
          <w:tcPr>
            <w:tcW w:w="1255" w:type="dxa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F54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C9D5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61B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</w:t>
            </w:r>
          </w:p>
        </w:tc>
      </w:tr>
      <w:tr w14:paraId="125E8D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52D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&lt;50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4FAB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918 (7.4%)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C5A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1047 (14.0%)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E842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42BE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0D2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60EB1">
            <w:pPr>
              <w:rPr>
                <w:rFonts w:ascii="Times New Roman" w:hAnsi="Times New Roman" w:cs="Times New Roman"/>
              </w:rPr>
            </w:pPr>
          </w:p>
        </w:tc>
      </w:tr>
      <w:tr w14:paraId="02019D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736B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50–64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0178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4369 (35.0%)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714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3479 (46.4%)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5166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E812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46.7%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7AF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46.4%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DF7E6A">
            <w:pPr>
              <w:rPr>
                <w:rFonts w:ascii="Times New Roman" w:hAnsi="Times New Roman" w:cs="Times New Roman"/>
              </w:rPr>
            </w:pPr>
          </w:p>
        </w:tc>
      </w:tr>
      <w:tr w14:paraId="50B27E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08B3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65–74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C809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3537 (28.3%)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2DDA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2081 (27.8%)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128B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71F3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9BC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27.8%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A3C28">
            <w:pPr>
              <w:rPr>
                <w:rFonts w:ascii="Times New Roman" w:hAnsi="Times New Roman" w:cs="Times New Roman"/>
              </w:rPr>
            </w:pPr>
          </w:p>
        </w:tc>
      </w:tr>
      <w:tr w14:paraId="554FB3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98E4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≥75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EF6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3653 (29.3%)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C141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890 (11.9%)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FFC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8014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ACF6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11.9%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772191">
            <w:pPr>
              <w:rPr>
                <w:rFonts w:ascii="Times New Roman" w:hAnsi="Times New Roman" w:cs="Times New Roman"/>
              </w:rPr>
            </w:pPr>
          </w:p>
        </w:tc>
      </w:tr>
      <w:tr w14:paraId="66E6A9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AD0B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Sex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A4DF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250F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D8B7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833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A14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E95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</w:t>
            </w:r>
          </w:p>
        </w:tc>
      </w:tr>
      <w:tr w14:paraId="3DA582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00B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Male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D55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8350 (66.9%)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E568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5324 (71.0%)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F29B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FCF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70.7%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00A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71.0%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F15061">
            <w:pPr>
              <w:rPr>
                <w:rFonts w:ascii="Times New Roman" w:hAnsi="Times New Roman" w:cs="Times New Roman"/>
              </w:rPr>
            </w:pPr>
          </w:p>
        </w:tc>
      </w:tr>
      <w:tr w14:paraId="54E8CE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CBD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Female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46E1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4127 (33.1%)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34A4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2173 (29.0%)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A19C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EC05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29.3%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225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2F049">
            <w:pPr>
              <w:rPr>
                <w:rFonts w:ascii="Times New Roman" w:hAnsi="Times New Roman" w:cs="Times New Roman"/>
              </w:rPr>
            </w:pPr>
          </w:p>
        </w:tc>
      </w:tr>
      <w:tr w14:paraId="7AEF67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C59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Year of diagnosis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3969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9177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44A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0.21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9D4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D1C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26D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</w:t>
            </w:r>
          </w:p>
        </w:tc>
      </w:tr>
      <w:tr w14:paraId="47B473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7FB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2005–2010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5F5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3599 (28.8%)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131E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2729 (36.4%)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93D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3CF8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36.4%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1982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36.4%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BC23C1">
            <w:pPr>
              <w:rPr>
                <w:rFonts w:ascii="Times New Roman" w:hAnsi="Times New Roman" w:cs="Times New Roman"/>
              </w:rPr>
            </w:pPr>
          </w:p>
        </w:tc>
      </w:tr>
      <w:tr w14:paraId="78EFF9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BBE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2011–2015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85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3935 (31.5%)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01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2492 (33.2%)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D0BA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95A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32.8%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639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33.2%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76282C">
            <w:pPr>
              <w:rPr>
                <w:rFonts w:ascii="Times New Roman" w:hAnsi="Times New Roman" w:cs="Times New Roman"/>
              </w:rPr>
            </w:pPr>
          </w:p>
        </w:tc>
      </w:tr>
      <w:tr w14:paraId="60602D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185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2016–2020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BD69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4943 (39.6%)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843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2276 (30.4%)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55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433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30.8%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15F4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30.4%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4FAB01">
            <w:pPr>
              <w:rPr>
                <w:rFonts w:ascii="Times New Roman" w:hAnsi="Times New Roman" w:cs="Times New Roman"/>
              </w:rPr>
            </w:pPr>
          </w:p>
        </w:tc>
      </w:tr>
      <w:tr w14:paraId="2E1F06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647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Race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D834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55D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9D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0.15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B42A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D171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F6C6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</w:t>
            </w:r>
          </w:p>
        </w:tc>
      </w:tr>
      <w:tr w14:paraId="4DC867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A9A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White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6B0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10165 (81.5%)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213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6393 (85.3%)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14FA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D47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85.1%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11D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85.3%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C9837">
            <w:pPr>
              <w:rPr>
                <w:rFonts w:ascii="Times New Roman" w:hAnsi="Times New Roman" w:cs="Times New Roman"/>
              </w:rPr>
            </w:pPr>
          </w:p>
        </w:tc>
      </w:tr>
      <w:tr w14:paraId="5664C6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75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Black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4D8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1389 (11.1%)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024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509 (6.8%)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111F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380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6.4%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5AE7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6.8%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19B6F">
            <w:pPr>
              <w:rPr>
                <w:rFonts w:ascii="Times New Roman" w:hAnsi="Times New Roman" w:cs="Times New Roman"/>
              </w:rPr>
            </w:pPr>
          </w:p>
        </w:tc>
      </w:tr>
      <w:tr w14:paraId="3A0B4C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1804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Other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B2F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923 (7.4%)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BA6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595 (7.9%)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C563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76C5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909F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7.9%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DF5CB">
            <w:pPr>
              <w:rPr>
                <w:rFonts w:ascii="Times New Roman" w:hAnsi="Times New Roman" w:cs="Times New Roman"/>
              </w:rPr>
            </w:pPr>
          </w:p>
        </w:tc>
      </w:tr>
      <w:tr w14:paraId="34FD76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7470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Marital status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1052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BFB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2D8A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0.29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5CD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3738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73A7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</w:t>
            </w:r>
          </w:p>
        </w:tc>
      </w:tr>
      <w:tr w14:paraId="252C99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A4C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Married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919D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6747 (54.1%)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5C8A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4976 (66.4%)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4068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E3F7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65.4%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A0F8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66.4%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55AE4">
            <w:pPr>
              <w:rPr>
                <w:rFonts w:ascii="Times New Roman" w:hAnsi="Times New Roman" w:cs="Times New Roman"/>
              </w:rPr>
            </w:pPr>
          </w:p>
        </w:tc>
      </w:tr>
      <w:tr w14:paraId="1C0755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5E1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Widowed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BF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1690 (13.5%)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EEC6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497 (6.6%)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5058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5606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DD3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6.6%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E6DF0B">
            <w:pPr>
              <w:rPr>
                <w:rFonts w:ascii="Times New Roman" w:hAnsi="Times New Roman" w:cs="Times New Roman"/>
              </w:rPr>
            </w:pPr>
          </w:p>
        </w:tc>
      </w:tr>
      <w:tr w14:paraId="197720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738B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Single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ADAC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2182 (17.5%)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C3AF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1021 (13.6%)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409C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62A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13.7%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392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13.6%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20FC2C">
            <w:pPr>
              <w:rPr>
                <w:rFonts w:ascii="Times New Roman" w:hAnsi="Times New Roman" w:cs="Times New Roman"/>
              </w:rPr>
            </w:pPr>
          </w:p>
        </w:tc>
      </w:tr>
      <w:tr w14:paraId="498864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273D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Divorced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2E1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1265 (10.1%)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47EA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708 (9.4%)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791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8A95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A04F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0A5C6C">
            <w:pPr>
              <w:rPr>
                <w:rFonts w:ascii="Times New Roman" w:hAnsi="Times New Roman" w:cs="Times New Roman"/>
              </w:rPr>
            </w:pPr>
          </w:p>
        </w:tc>
      </w:tr>
      <w:tr w14:paraId="1DF6F7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7F28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Other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E42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593 (4.8%)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7D7F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295 (3.9%)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AED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82E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57EE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675364">
            <w:pPr>
              <w:rPr>
                <w:rFonts w:ascii="Times New Roman" w:hAnsi="Times New Roman" w:cs="Times New Roman"/>
              </w:rPr>
            </w:pPr>
          </w:p>
        </w:tc>
      </w:tr>
      <w:tr w14:paraId="791294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955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Grade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AE0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77E6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D7E1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1.43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03B5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5750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737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0.12</w:t>
            </w:r>
          </w:p>
        </w:tc>
      </w:tr>
      <w:tr w14:paraId="3312A4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B6E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3951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234 (1.9%)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F1E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 (1.7%)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0CB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676E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447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A913D">
            <w:pPr>
              <w:rPr>
                <w:rFonts w:ascii="Times New Roman" w:hAnsi="Times New Roman" w:cs="Times New Roman"/>
              </w:rPr>
            </w:pPr>
          </w:p>
        </w:tc>
      </w:tr>
      <w:tr w14:paraId="779126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3CDB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II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CDD3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680 (5.5%)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3351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1086 (14.5%)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B78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45A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10E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14.5%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2DFEB4">
            <w:pPr>
              <w:rPr>
                <w:rFonts w:ascii="Times New Roman" w:hAnsi="Times New Roman" w:cs="Times New Roman"/>
              </w:rPr>
            </w:pPr>
          </w:p>
        </w:tc>
      </w:tr>
      <w:tr w14:paraId="0F937E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726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III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95F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1078 (8.6%)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07F5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2395 (31.9%)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4E7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D150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32.3%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FE39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31.9%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F29037">
            <w:pPr>
              <w:rPr>
                <w:rFonts w:ascii="Times New Roman" w:hAnsi="Times New Roman" w:cs="Times New Roman"/>
              </w:rPr>
            </w:pPr>
          </w:p>
        </w:tc>
      </w:tr>
      <w:tr w14:paraId="0DAB22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C8D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IV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82D9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365 (2.9%)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DF90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2057 (27.4%)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B14F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3CBD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22.5%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50FA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27.4%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AED841">
            <w:pPr>
              <w:rPr>
                <w:rFonts w:ascii="Times New Roman" w:hAnsi="Times New Roman" w:cs="Times New Roman"/>
              </w:rPr>
            </w:pPr>
          </w:p>
        </w:tc>
      </w:tr>
      <w:tr w14:paraId="300314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586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Unknownᶜ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EE7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10120 (81.1%)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0DB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1829 (24.4%)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871B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48D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27.3%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6AA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24.4%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D9EA6C">
            <w:pPr>
              <w:rPr>
                <w:rFonts w:ascii="Times New Roman" w:hAnsi="Times New Roman" w:cs="Times New Roman"/>
              </w:rPr>
            </w:pPr>
          </w:p>
        </w:tc>
      </w:tr>
      <w:tr w14:paraId="142A45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6D9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Laterality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A64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BC4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F0A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4753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6E0E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772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</w:t>
            </w:r>
          </w:p>
        </w:tc>
      </w:tr>
      <w:tr w14:paraId="722882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B92D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Left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EAC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6366 (51.0%)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E99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3915 (52.2%)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D39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89AB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52.4%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3A8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52.2%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D11BE8">
            <w:pPr>
              <w:rPr>
                <w:rFonts w:ascii="Times New Roman" w:hAnsi="Times New Roman" w:cs="Times New Roman"/>
              </w:rPr>
            </w:pPr>
          </w:p>
        </w:tc>
      </w:tr>
      <w:tr w14:paraId="043DB4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52B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Right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04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6111 (49.0%)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4F7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3582 (47.8%)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E033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29A5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47.6%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FA6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47.8%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6BE504">
            <w:pPr>
              <w:rPr>
                <w:rFonts w:ascii="Times New Roman" w:hAnsi="Times New Roman" w:cs="Times New Roman"/>
              </w:rPr>
            </w:pPr>
          </w:p>
        </w:tc>
      </w:tr>
      <w:tr w14:paraId="7B6FAC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607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Histologic type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A9B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BF74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D3F7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0.85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D8A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B24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2D00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</w:t>
            </w:r>
          </w:p>
        </w:tc>
      </w:tr>
      <w:tr w14:paraId="678F53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26A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Clear cell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EC9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4030 (32.3%)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88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4888 (65.2%)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A60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C735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63.2%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1ED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65.2%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04C1E6">
            <w:pPr>
              <w:rPr>
                <w:rFonts w:ascii="Times New Roman" w:hAnsi="Times New Roman" w:cs="Times New Roman"/>
              </w:rPr>
            </w:pPr>
          </w:p>
        </w:tc>
      </w:tr>
      <w:tr w14:paraId="2B78C0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A59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Papillary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BC0E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393 (3.1%)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8EE2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418 (5.6%)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8792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FD64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06BB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5.6%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4C6984">
            <w:pPr>
              <w:rPr>
                <w:rFonts w:ascii="Times New Roman" w:hAnsi="Times New Roman" w:cs="Times New Roman"/>
              </w:rPr>
            </w:pPr>
          </w:p>
        </w:tc>
      </w:tr>
      <w:tr w14:paraId="72E342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236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Chromophobe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D1A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 (0.4%)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D2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 (1.3%)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03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FC2A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AC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BEAC43">
            <w:pPr>
              <w:rPr>
                <w:rFonts w:ascii="Times New Roman" w:hAnsi="Times New Roman" w:cs="Times New Roman"/>
              </w:rPr>
            </w:pPr>
          </w:p>
        </w:tc>
      </w:tr>
      <w:tr w14:paraId="5F0C2C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6CEA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Sarcomatoid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6328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402 (3.2%)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254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409 (5.5%)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D65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DF4A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5.7%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3586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5.5%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6411D1">
            <w:pPr>
              <w:rPr>
                <w:rFonts w:ascii="Times New Roman" w:hAnsi="Times New Roman" w:cs="Times New Roman"/>
              </w:rPr>
            </w:pPr>
          </w:p>
        </w:tc>
      </w:tr>
      <w:tr w14:paraId="3B9835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21B4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NOS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C8E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810 (6.5%)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080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 (1.6%)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584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355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769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16F3E9">
            <w:pPr>
              <w:rPr>
                <w:rFonts w:ascii="Times New Roman" w:hAnsi="Times New Roman" w:cs="Times New Roman"/>
              </w:rPr>
            </w:pPr>
          </w:p>
        </w:tc>
      </w:tr>
      <w:tr w14:paraId="229FE0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38BE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Other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E16E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6798 (54.5%)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109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1563 (20.8%)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E01D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CD42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7C6C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20.8%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66177C">
            <w:pPr>
              <w:rPr>
                <w:rFonts w:ascii="Times New Roman" w:hAnsi="Times New Roman" w:cs="Times New Roman"/>
              </w:rPr>
            </w:pPr>
          </w:p>
        </w:tc>
      </w:tr>
      <w:tr w14:paraId="3E6B03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6C54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 stage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714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D05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56A1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1.06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863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6E23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142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</w:t>
            </w:r>
          </w:p>
        </w:tc>
      </w:tr>
      <w:tr w14:paraId="78DBB3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782E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T1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916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3421 (27.4%)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88D0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975 (13.0%)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555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C0D1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65A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59C4B1">
            <w:pPr>
              <w:rPr>
                <w:rFonts w:ascii="Times New Roman" w:hAnsi="Times New Roman" w:cs="Times New Roman"/>
              </w:rPr>
            </w:pPr>
          </w:p>
        </w:tc>
      </w:tr>
      <w:tr w14:paraId="0D4B91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6F45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T2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CBBC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2781 (22.3%)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F99D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1049 (14.0%)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012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75F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C21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FBFBC">
            <w:pPr>
              <w:rPr>
                <w:rFonts w:ascii="Times New Roman" w:hAnsi="Times New Roman" w:cs="Times New Roman"/>
              </w:rPr>
            </w:pPr>
          </w:p>
        </w:tc>
      </w:tr>
      <w:tr w14:paraId="2175A4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0670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T3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CDE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2708 (21.7%)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7FB7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4811 (64.2%)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E19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FE0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60.9%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151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64.2%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B9B585">
            <w:pPr>
              <w:rPr>
                <w:rFonts w:ascii="Times New Roman" w:hAnsi="Times New Roman" w:cs="Times New Roman"/>
              </w:rPr>
            </w:pPr>
          </w:p>
        </w:tc>
      </w:tr>
      <w:tr w14:paraId="536C29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4045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T4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666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1428 (11.4%)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97C4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617 (8.2%)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4ECF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7E9F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B82F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12C067">
            <w:pPr>
              <w:rPr>
                <w:rFonts w:ascii="Times New Roman" w:hAnsi="Times New Roman" w:cs="Times New Roman"/>
              </w:rPr>
            </w:pPr>
          </w:p>
        </w:tc>
      </w:tr>
      <w:tr w14:paraId="3322DD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82E3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Txᵈ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4D92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2139 (17.1%)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2D5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(0.6%)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A63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506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CAB9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36673A">
            <w:pPr>
              <w:rPr>
                <w:rFonts w:ascii="Times New Roman" w:hAnsi="Times New Roman" w:cs="Times New Roman"/>
              </w:rPr>
            </w:pPr>
          </w:p>
        </w:tc>
      </w:tr>
      <w:tr w14:paraId="6A681A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F07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 stage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D8F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1FE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B08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0.34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2BD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C69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0EE4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</w:t>
            </w:r>
          </w:p>
        </w:tc>
      </w:tr>
      <w:tr w14:paraId="61CDF8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C847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N0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1C6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6490 (52.0%)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29A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5077 (67.7%)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BFF5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CC2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65.4%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F2A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67.7%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8F28E">
            <w:pPr>
              <w:rPr>
                <w:rFonts w:ascii="Times New Roman" w:hAnsi="Times New Roman" w:cs="Times New Roman"/>
              </w:rPr>
            </w:pPr>
          </w:p>
        </w:tc>
      </w:tr>
      <w:tr w14:paraId="5A8AEA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BF07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N1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0EE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3095 (24.8%)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009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1426 (19.0%)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AECE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25F2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20.4%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4C2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F382D">
            <w:pPr>
              <w:rPr>
                <w:rFonts w:ascii="Times New Roman" w:hAnsi="Times New Roman" w:cs="Times New Roman"/>
              </w:rPr>
            </w:pPr>
          </w:p>
        </w:tc>
      </w:tr>
      <w:tr w14:paraId="661968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A1D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Nxᵈ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3E5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2892 (23.2%)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8CAC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994 (13.3%)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C33F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0EB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14.2%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430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9E546B">
            <w:pPr>
              <w:rPr>
                <w:rFonts w:ascii="Times New Roman" w:hAnsi="Times New Roman" w:cs="Times New Roman"/>
              </w:rPr>
            </w:pPr>
          </w:p>
        </w:tc>
      </w:tr>
      <w:tr w14:paraId="13C986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D0E2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Sequence number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B50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AC92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D2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0.16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AAE8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B7C4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F02B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</w:t>
            </w:r>
          </w:p>
        </w:tc>
      </w:tr>
      <w:tr w14:paraId="3C68A3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B10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First/only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3E4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10303 (82.6%)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475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6607 (88.1%)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44A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8DD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87.7%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EDA0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88.1%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4147B5">
            <w:pPr>
              <w:rPr>
                <w:rFonts w:ascii="Times New Roman" w:hAnsi="Times New Roman" w:cs="Times New Roman"/>
              </w:rPr>
            </w:pPr>
          </w:p>
        </w:tc>
      </w:tr>
      <w:tr w14:paraId="4A2408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E86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Second+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8378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2174 (17.4%)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CB8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890 (11.9%)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06E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D96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C42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11.9%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8954B">
            <w:pPr>
              <w:rPr>
                <w:rFonts w:ascii="Times New Roman" w:hAnsi="Times New Roman" w:cs="Times New Roman"/>
              </w:rPr>
            </w:pPr>
          </w:p>
        </w:tc>
      </w:tr>
      <w:tr w14:paraId="307D65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7587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Number of tumours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CE4A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34C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43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067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A49E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D54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</w:t>
            </w:r>
          </w:p>
        </w:tc>
      </w:tr>
      <w:tr w14:paraId="31CB21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A78E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0D41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9879 (79.2%)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522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6158 (82.1%)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1B8A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CB9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82.2%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4AC2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82.1%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13A6C">
            <w:pPr>
              <w:rPr>
                <w:rFonts w:ascii="Times New Roman" w:hAnsi="Times New Roman" w:cs="Times New Roman"/>
              </w:rPr>
            </w:pPr>
          </w:p>
        </w:tc>
      </w:tr>
      <w:tr w14:paraId="3A5854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C90E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4B2A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2146 (17.2%)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B29B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1099 (14.7%)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FE1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7AA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4169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14.7%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895396">
            <w:pPr>
              <w:rPr>
                <w:rFonts w:ascii="Times New Roman" w:hAnsi="Times New Roman" w:cs="Times New Roman"/>
              </w:rPr>
            </w:pPr>
          </w:p>
        </w:tc>
      </w:tr>
      <w:tr w14:paraId="4651CE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B220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3+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24A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452 (3.6%)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313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 (3.2%)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D40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C4F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37D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659D57">
            <w:pPr>
              <w:rPr>
                <w:rFonts w:ascii="Times New Roman" w:hAnsi="Times New Roman" w:cs="Times New Roman"/>
              </w:rPr>
            </w:pPr>
          </w:p>
        </w:tc>
      </w:tr>
      <w:tr w14:paraId="18FF30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656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Tumour size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D98F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69D9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CB0F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0.33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2413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082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043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</w:t>
            </w:r>
          </w:p>
        </w:tc>
      </w:tr>
      <w:tr w14:paraId="11D437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E82C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≤4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FCD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1892 (15.2%)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9E8C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547 (7.3%)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74F5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147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7.9%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5F9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E65EEC">
            <w:pPr>
              <w:rPr>
                <w:rFonts w:ascii="Times New Roman" w:hAnsi="Times New Roman" w:cs="Times New Roman"/>
              </w:rPr>
            </w:pPr>
          </w:p>
        </w:tc>
      </w:tr>
      <w:tr w14:paraId="5050A4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6263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4–7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9A6B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3643 (29.2%)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7C0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1711 (22.8%)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0F79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BC5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94D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22.8%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A11287">
            <w:pPr>
              <w:rPr>
                <w:rFonts w:ascii="Times New Roman" w:hAnsi="Times New Roman" w:cs="Times New Roman"/>
              </w:rPr>
            </w:pPr>
          </w:p>
        </w:tc>
      </w:tr>
      <w:tr w14:paraId="503FE9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68B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&gt;7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F396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6942 (55.6%)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CEB5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5239 (69.9%)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12E3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4E1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69.1%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017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69.9%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2B3FE">
            <w:pPr>
              <w:rPr>
                <w:rFonts w:ascii="Times New Roman" w:hAnsi="Times New Roman" w:cs="Times New Roman"/>
              </w:rPr>
            </w:pPr>
          </w:p>
        </w:tc>
      </w:tr>
      <w:tr w14:paraId="62666A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E9A4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Median household income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59AA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E54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F42B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08D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0D4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854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</w:t>
            </w:r>
          </w:p>
        </w:tc>
      </w:tr>
      <w:tr w14:paraId="17C71A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002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&lt;45 k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4AE7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423 (3.4%)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08B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 (2.6%)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278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ED35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2.9%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D6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7D237B">
            <w:pPr>
              <w:rPr>
                <w:rFonts w:ascii="Times New Roman" w:hAnsi="Times New Roman" w:cs="Times New Roman"/>
              </w:rPr>
            </w:pPr>
          </w:p>
        </w:tc>
      </w:tr>
      <w:tr w14:paraId="346094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33A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45–75 k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FE6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4727 (37.9%)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00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2915 (38.9%)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989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545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38.5%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FD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38.9%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3856A3">
            <w:pPr>
              <w:rPr>
                <w:rFonts w:ascii="Times New Roman" w:hAnsi="Times New Roman" w:cs="Times New Roman"/>
              </w:rPr>
            </w:pPr>
          </w:p>
        </w:tc>
      </w:tr>
      <w:tr w14:paraId="378463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3600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≥75 k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6CE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7327 (58.7%)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DA3F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4385 (58.5%)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F24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FADE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58.6%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2AE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58.5%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F84539">
            <w:pPr>
              <w:rPr>
                <w:rFonts w:ascii="Times New Roman" w:hAnsi="Times New Roman" w:cs="Times New Roman"/>
              </w:rPr>
            </w:pPr>
          </w:p>
        </w:tc>
      </w:tr>
      <w:tr w14:paraId="4A02A7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F51A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Radiation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8B6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C31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46C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0.14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C74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F932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24EF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</w:t>
            </w:r>
          </w:p>
        </w:tc>
      </w:tr>
      <w:tr w14:paraId="0B0085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DB17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299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8607 (69.0%)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8C56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5631 (75.1%)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F07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7B3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74.3%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859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75.1%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A0AC59">
            <w:pPr>
              <w:rPr>
                <w:rFonts w:ascii="Times New Roman" w:hAnsi="Times New Roman" w:cs="Times New Roman"/>
              </w:rPr>
            </w:pPr>
          </w:p>
        </w:tc>
      </w:tr>
      <w:tr w14:paraId="789979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D07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Yes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ED9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3870 (31.0%)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A2E0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1866 (24.9%)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98AD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341C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25.7%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809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24.9%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D5B54F">
            <w:pPr>
              <w:rPr>
                <w:rFonts w:ascii="Times New Roman" w:hAnsi="Times New Roman" w:cs="Times New Roman"/>
              </w:rPr>
            </w:pPr>
          </w:p>
        </w:tc>
      </w:tr>
      <w:tr w14:paraId="770E9C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35F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Chemotherapy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F902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EE08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746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DAEA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7499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434D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</w:t>
            </w:r>
          </w:p>
        </w:tc>
      </w:tr>
      <w:tr w14:paraId="78A5E7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897D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No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8E4E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6661 (53.4%)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76F5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3902 (52.0%)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3BF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F577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53.0%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EE7F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52.0%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DD94B">
            <w:pPr>
              <w:rPr>
                <w:rFonts w:ascii="Times New Roman" w:hAnsi="Times New Roman" w:cs="Times New Roman"/>
              </w:rPr>
            </w:pPr>
          </w:p>
        </w:tc>
      </w:tr>
      <w:tr w14:paraId="219838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20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DE0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Yes</w:t>
            </w:r>
          </w:p>
        </w:tc>
        <w:tc>
          <w:tcPr>
            <w:tcW w:w="1460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9FE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5816 (46.6%)</w:t>
            </w:r>
          </w:p>
        </w:tc>
        <w:tc>
          <w:tcPr>
            <w:tcW w:w="1371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523C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3595 (48.0%)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E49D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85C2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7114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48.0%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703C3">
            <w:pPr>
              <w:rPr>
                <w:rFonts w:ascii="Times New Roman" w:hAnsi="Times New Roman" w:cs="Times New Roman"/>
              </w:rPr>
            </w:pPr>
          </w:p>
        </w:tc>
      </w:tr>
      <w:tr w14:paraId="2EFA91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46" w:type="dxa"/>
            <w:gridSpan w:val="7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AE90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ᵃ IPTW via a covariate-balancing propensity score (CBPS; Imai &amp; Ratkovic, 2014; WeightIt, method = 'cbps', just-identified, ATT estimand). The propensity score is estimated by generalized method of moments so that weighted covariate means are equated across groups, directly targeting covariate balance. 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Surgery</w:t>
            </w:r>
            <w:r>
              <w:rPr>
                <w:rFonts w:ascii="Times New Roman" w:hAnsi="Times New Roman" w:cs="Times New Roman"/>
              </w:rPr>
              <w:t xml:space="preserve"> units receive weight 1; control (no-surgery) units are weighted by the odds of treatment. Extreme weights were trimmed at the 99.5th percentile. The weighted column shows CBPS-weighted %.</w:t>
            </w:r>
          </w:p>
        </w:tc>
      </w:tr>
      <w:tr w14:paraId="2255B5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4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A873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ᵇ SMD, absolute standardised mean difference. Values &lt;0.10 indicate adequate balance. Unlike exact-balancing methods, IPTW does not force the SMD to zero, so minor residual imbalance (SMD ≥0.10) may remain; all SMDs are displayed in the Love plot (Supplementary Figure</w:t>
            </w:r>
            <w:r>
              <w:rPr>
                <w:rFonts w:hint="eastAsia"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).</w:t>
            </w:r>
          </w:p>
        </w:tc>
      </w:tr>
      <w:tr w14:paraId="2F9758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4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32C4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ᶜ Grade ‘Unknown’ is retained as an explicit factor level; cases with missing grade information are NOT excluded from the analytic cohort.</w:t>
            </w:r>
          </w:p>
        </w:tc>
      </w:tr>
      <w:tr w14:paraId="5F6F09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4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19A8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ᵈ Tx (T-stage) and Nx (N-stage) denote cases in which staging information was unavailable in the SEER database; they are treated as a separate stratum rather than excluded.</w:t>
            </w:r>
          </w:p>
        </w:tc>
      </w:tr>
      <w:tr w14:paraId="42A2A7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4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D926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Original cohort: n (%). Data source: SEER 1</w:t>
            </w:r>
            <w:r>
              <w:rPr>
                <w:rFonts w:hint="eastAsia"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registries, 2005–2020. All variables are recorded at the time of initial diagnosis.</w:t>
            </w:r>
          </w:p>
        </w:tc>
      </w:tr>
      <w:tr w14:paraId="13A3FA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4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FC71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Abbreviations: CN, cytoreductive nephrectomy; CI, confidence interval; CSS, cancer-specific survival; HR, hazard ratio; NR, not reached; OS, overall survival; RCC, renal cell carcinoma; SHR, subdistribution hazard ratio; SMD, standardised mean difference.</w:t>
            </w:r>
          </w:p>
        </w:tc>
      </w:tr>
    </w:tbl>
    <w:p w14:paraId="56A971B3">
      <w:pPr>
        <w:rPr>
          <w:rFonts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5C3"/>
    <w:rsid w:val="0008247A"/>
    <w:rsid w:val="002912FE"/>
    <w:rsid w:val="00A449F4"/>
    <w:rsid w:val="00A625C3"/>
    <w:rsid w:val="00F30C54"/>
    <w:rsid w:val="266956FB"/>
    <w:rsid w:val="4D3C1DF0"/>
    <w:rsid w:val="4F370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unhideWhenUsed/>
    <w:qFormat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4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4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6">
    <w:name w:val="标题 2 字符"/>
    <w:basedOn w:val="14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标题 3 字符"/>
    <w:basedOn w:val="14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标题 4 字符"/>
    <w:basedOn w:val="14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19">
    <w:name w:val="标题 5 字符"/>
    <w:basedOn w:val="14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0">
    <w:name w:val="标题 6 字符"/>
    <w:basedOn w:val="14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1">
    <w:name w:val="标题 7 字符"/>
    <w:basedOn w:val="14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4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4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4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4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1">
    <w:name w:val="明显引用 字符"/>
    <w:basedOn w:val="14"/>
    <w:link w:val="30"/>
    <w:qFormat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677</Words>
  <Characters>3573</Characters>
  <Lines>389</Lines>
  <Paragraphs>287</Paragraphs>
  <TotalTime>0</TotalTime>
  <ScaleCrop>false</ScaleCrop>
  <LinksUpToDate>false</LinksUpToDate>
  <CharactersWithSpaces>4027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2026-06-26T15:03:00Z</dcterms:created>
  <dc:creator>雄武 彭</dc:creator>
  <cp:lastModifiedBy>初心</cp:lastModifiedBy>
  <dcterms:modified xsi:type="dcterms:W3CDTF">2026-06-26T17:12:17Z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eyJoZGlkIjoiZjVjMzU5NzA5NjQyMDA2OTE0Y2UwMjhkYmI2NGNiOTciLCJ1c2VySWQiOiIyNTM4NzA0NjQifQ==</vt:lpwstr>
  </property>
  <property fmtid="{D5CDD505-2E9C-101B-9397-08002B2CF9AE}" pid="3" name="KSOProductBuildVer">
    <vt:lpwstr>2052-12.1.0.26895</vt:lpwstr>
  </property>
  <property fmtid="{D5CDD505-2E9C-101B-9397-08002B2CF9AE}" pid="4" name="ICV">
    <vt:lpwstr>3783C17101EF4E3FA7B18352FFE2AD68_12</vt:lpwstr>
  </property>
</Properties>
</file>