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412DA" w14:textId="632B4D7D" w:rsidR="00B7392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D96413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>. Fully adjusted Cox model (OS &amp; CSS) with reference categories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420"/>
        <w:gridCol w:w="1975"/>
        <w:gridCol w:w="1134"/>
        <w:gridCol w:w="2126"/>
        <w:gridCol w:w="1984"/>
      </w:tblGrid>
      <w:tr w:rsidR="00B73927" w14:paraId="0B33A1EA" w14:textId="77777777">
        <w:trPr>
          <w:tblHeader/>
          <w:jc w:val="center"/>
        </w:trPr>
        <w:tc>
          <w:tcPr>
            <w:tcW w:w="9639" w:type="dxa"/>
            <w:gridSpan w:val="5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D51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Fully adjusted model (Adjust </w:t>
            </w:r>
            <w:proofErr w:type="gramStart"/>
            <w:r>
              <w:rPr>
                <w:rFonts w:ascii="Times New Roman" w:hAnsi="Times New Roman" w:cs="Times New Roman"/>
              </w:rPr>
              <w:t>II)ᵃ</w:t>
            </w:r>
            <w:proofErr w:type="gramEnd"/>
          </w:p>
        </w:tc>
      </w:tr>
      <w:tr w:rsidR="00B73927" w14:paraId="02340A97" w14:textId="77777777">
        <w:trPr>
          <w:tblHeader/>
          <w:jc w:val="center"/>
        </w:trPr>
        <w:tc>
          <w:tcPr>
            <w:tcW w:w="242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7427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620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 (95% </w:t>
            </w:r>
            <w:proofErr w:type="gramStart"/>
            <w:r>
              <w:rPr>
                <w:rFonts w:ascii="Times New Roman" w:hAnsi="Times New Roman" w:cs="Times New Roman"/>
              </w:rPr>
              <w:t>CI)ᵇ</w:t>
            </w:r>
            <w:proofErr w:type="gramEnd"/>
            <w:r>
              <w:rPr>
                <w:rFonts w:ascii="Times New Roman" w:hAnsi="Times New Roman" w:cs="Times New Roman"/>
              </w:rPr>
              <w:t>, 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E3D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  <w:r>
              <w:rPr>
                <w:rFonts w:ascii="Times New Roman" w:hAnsi="Times New Roman" w:cs="Times New Roman"/>
              </w:rPr>
              <w:t>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75A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HR (95% </w:t>
            </w:r>
            <w:proofErr w:type="gramStart"/>
            <w:r>
              <w:rPr>
                <w:rFonts w:ascii="Times New Roman" w:hAnsi="Times New Roman" w:cs="Times New Roman"/>
              </w:rPr>
              <w:t>CI)ᵇ</w:t>
            </w:r>
            <w:proofErr w:type="gramEnd"/>
            <w:r>
              <w:rPr>
                <w:rFonts w:ascii="Times New Roman" w:hAnsi="Times New Roman" w:cs="Times New Roman"/>
              </w:rPr>
              <w:t>, CSS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98B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  <w:r>
              <w:rPr>
                <w:rFonts w:ascii="Times New Roman" w:hAnsi="Times New Roman" w:cs="Times New Roman"/>
              </w:rPr>
              <w:t xml:space="preserve"> ᶜ, CSS</w:t>
            </w:r>
          </w:p>
        </w:tc>
      </w:tr>
      <w:tr w:rsidR="00B73927" w14:paraId="2E584DA6" w14:textId="77777777">
        <w:trPr>
          <w:jc w:val="center"/>
        </w:trPr>
        <w:tc>
          <w:tcPr>
            <w:tcW w:w="2420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6EF5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</w:t>
            </w:r>
          </w:p>
        </w:tc>
        <w:tc>
          <w:tcPr>
            <w:tcW w:w="1975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9894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F55C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AC8B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25C3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5611D828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79E7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 surgery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707C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35C1B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12B5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4110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4BF3B49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E4C1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Surgery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A458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(0.38–0.44)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B36B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E29E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(0.38–0.45)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313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390632F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248B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C959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34DB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873F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59D7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4C6E8FB0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41E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&lt;50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BF3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7BD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9B40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6BD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33119EDA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B2D7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50–64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B8A4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(0.91–1.11)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255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AE9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(0.90–1.12)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6F8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0.950</w:t>
            </w:r>
          </w:p>
        </w:tc>
      </w:tr>
      <w:tr w:rsidR="00B73927" w14:paraId="3AF6EEE8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D5C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65–74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2EA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 (1.00–1.26)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B42F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5E13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 (0.96–1.25)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CE34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0.160</w:t>
            </w:r>
          </w:p>
        </w:tc>
      </w:tr>
      <w:tr w:rsidR="00B73927" w14:paraId="32DB704A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8204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≥75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A65F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 (1.31–1.64)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3E8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5990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 (1.25–1.62)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D7EF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75FBD1F6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9C1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72E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BADE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7AB8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FABB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61DC1E7E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2D10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Male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49A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BD5FA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9BC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17D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559CB071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AB8F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Female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C45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(0.88–1.03)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E05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C75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 (0.88–1.05)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3144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0.340</w:t>
            </w:r>
          </w:p>
        </w:tc>
      </w:tr>
      <w:tr w:rsidR="00B73927" w14:paraId="7881EDD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9CD0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of diagnosis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11B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0508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1E78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0B52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1A2E87D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EB3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2005–2010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24BD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3232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9748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C950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3D48FA7E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DE8D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2011–2015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3E0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(0.79–0.93)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60E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F11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 (0.77–0.91)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5B68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28913BC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E814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2016–2020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1470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 (0.53–0.64)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F662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F63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 (0.49–0.60)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46F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16B6257E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F932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DA9D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996A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F382C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AC07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08A3695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163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White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5DB6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DCFD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B160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95A8B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4B117F0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C856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Black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514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 (0.94–1.22)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E59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D90F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(0.92–1.22)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919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0.401</w:t>
            </w:r>
          </w:p>
        </w:tc>
      </w:tr>
      <w:tr w:rsidR="00B73927" w14:paraId="040A0CE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4528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Other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F6E2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 (0.72–1.04)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5E9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252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 (0.75–1.08)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939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0.247</w:t>
            </w:r>
          </w:p>
        </w:tc>
      </w:tr>
      <w:tr w:rsidR="00B73927" w14:paraId="681BF9C9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DF1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1BDB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E41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5C1D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AF2A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18C31068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A7D4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87F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701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1CAA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D152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12C93782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228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3A9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(0.86–1.20)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8662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3230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(0.86–1.23)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3CD5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0.791</w:t>
            </w:r>
          </w:p>
        </w:tc>
      </w:tr>
      <w:tr w:rsidR="00B73927" w14:paraId="74DDA33A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32D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III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604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 (1.07–1.49)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A5D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BE4D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1.30 (1.09–1.55)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769A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B73927" w14:paraId="35F95EA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EDA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 IV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8DD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 (1.28–1.84)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41E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14D5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1.60 (1.32–1.94)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0668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37B83BC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BC7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Unknown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7AA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 (0.99–1.35)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F6F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863C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 (1.01–1.41)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BC4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</w:tc>
      </w:tr>
      <w:tr w:rsidR="00B73927" w14:paraId="0A37FA7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B27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Laterality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E33C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57FB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2CDB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288D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044CA2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1869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Left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45DD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1C46C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9349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0231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5B9C9D96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BDE1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Right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2BF9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(0.93–1.06)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CB0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6078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(0.92–1.06)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08D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0.772</w:t>
            </w:r>
          </w:p>
        </w:tc>
      </w:tr>
      <w:tr w:rsidR="00B73927" w14:paraId="14E74216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6702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Histologic type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8D71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682A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1928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DDC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14757732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F063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Clear cell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EC4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E5582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31D6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466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11CC6A0A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A7F3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Papillary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F812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 (1.25–1.64)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82A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0ECD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 (1.29–1.70)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A73E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6B86D2A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CB94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Chromophobe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DBD9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(0.73–1.08)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95B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308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(0.72–1.09)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8B3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0.250</w:t>
            </w:r>
          </w:p>
        </w:tc>
      </w:tr>
      <w:tr w:rsidR="00B73927" w14:paraId="6600F588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D80A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Sarcomatoid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C807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 (1.62–2.30)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96F9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A87D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1.98 (1.65–2.37)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AEFD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4AFE8993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531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C71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1.63 (1.34–1.98)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B85F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02ED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 (1.35–2.03)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12E6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1AF24130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A9E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Other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43D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 (1.21–1.44)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1E3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44C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1.32 (1.21–1.45)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8326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4D9EE347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B9B1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stage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9943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84AD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D94C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930B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061815D7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1EBF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54B8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3EC1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3B3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89E2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75F3BF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A7A2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E19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(0.89–1.17)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2DC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050A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 (0.92–1.25)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129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0.395</w:t>
            </w:r>
          </w:p>
        </w:tc>
      </w:tr>
      <w:tr w:rsidR="00B73927" w14:paraId="7D84EAFC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C2CC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T3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F859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 (1.03–1.29)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5F3B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5E8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 (1.06–1.38)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AEB6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:rsidR="00B73927" w14:paraId="1572207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7C45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38AE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 (1.10–1.51)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3B4C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B045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 (1.15–1.62)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6E7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0EE50566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C03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Tx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EB3E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 (0.86–1.32)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982E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E92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(0.91–1.43)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F719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0.244</w:t>
            </w:r>
          </w:p>
        </w:tc>
      </w:tr>
      <w:tr w:rsidR="00B73927" w14:paraId="1E739877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CA3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stage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731C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D2178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9CD5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746CA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09FB9FA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C1F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N0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8F3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58421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BA9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4C2B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18721A4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EAC8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531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1.48 (1.35–1.62)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6B08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04CE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 (1.39–1.67)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AD9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6CA3FC0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27BB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Nx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15ED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 (1.30–1.60)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F665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1A4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 (1.29–1.62)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933C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001EE37E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9B01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Radiation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C70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3661B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CD22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7B7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4B4C0264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FDC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9FDE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A49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E8E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1BBE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278BA5F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4A34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 Yes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8925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 (1.25–1.45)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F7C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A882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 (1.29–1.50)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D5E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646DEA78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A73D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A8554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99DE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BEEE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8E60B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2FBBF93E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8D97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B2B8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0D114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19E3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9048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2A9496F6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5864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Yes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C576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(0.79–0.91)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325C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FEB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(0.83–0.96)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678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</w:t>
            </w:r>
          </w:p>
        </w:tc>
      </w:tr>
      <w:tr w:rsidR="00B73927" w14:paraId="620297C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02B0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Tumour size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F158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9335C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4120F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5A7C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5ABD59C0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6356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≤4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C083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3DE41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26F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E039C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A83FF07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120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4–7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C3B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 (0.98–1.29)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1A17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1A3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 (0.98–1.38)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75EF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0.080</w:t>
            </w:r>
          </w:p>
        </w:tc>
      </w:tr>
      <w:tr w:rsidR="00B73927" w14:paraId="59A7B699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97B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&gt;7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4DB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 (1.01–1.38)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D85A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E250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 (1.02–1.50)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359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</w:t>
            </w:r>
          </w:p>
        </w:tc>
      </w:tr>
      <w:tr w:rsidR="00B73927" w14:paraId="5FABF220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4F62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 number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3511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A84A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F3EE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DAB2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4D4CB59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4923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First/only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F51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5A42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986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7094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9D5A23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EEA7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Second+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F98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1.52 (1.28–1.80)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2742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EDA4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 (1.36–2.05)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B50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11A30D88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D53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tumours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BC870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55265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6C124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C2A64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41E9EC8C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ADC0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87055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3AA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9075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52F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206C83F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4A08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E796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(0.54–0.74)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4975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01E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 (0.45–0.64)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7F8B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0CDCAC1D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FFA5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3+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2CFD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 (0.44–0.67)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D346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0AC4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0.39 (0.30–0.51)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539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B73927" w14:paraId="6F4A4DE9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3898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household income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F2A2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1D40B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7FB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0618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1A5E965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BC3A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&lt;45 k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CC530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AA23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CE98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3179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12A93C4C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82D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45–75 k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670A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 (0.77–1.07)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BAF1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A21E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(0.75–1.14)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C5D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0.469</w:t>
            </w:r>
          </w:p>
        </w:tc>
      </w:tr>
      <w:tr w:rsidR="00B73927" w14:paraId="0D8B878C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AE0C4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≥75 k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D78A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 (0.68–0.96)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448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13036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 (0.68–1.03)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456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0.091</w:t>
            </w:r>
          </w:p>
        </w:tc>
      </w:tr>
      <w:tr w:rsidR="00B73927" w14:paraId="20E3A5C4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BBFA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35F0D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4E3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F5B51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EE2E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78EE0D2B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B0E9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Married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CA90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C4A86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3FB9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(Reference)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25C7" w14:textId="77777777" w:rsidR="00B73927" w:rsidRDefault="00B73927">
            <w:pPr>
              <w:rPr>
                <w:rFonts w:ascii="Times New Roman" w:hAnsi="Times New Roman" w:cs="Times New Roman"/>
              </w:rPr>
            </w:pPr>
          </w:p>
        </w:tc>
      </w:tr>
      <w:tr w:rsidR="00B73927" w14:paraId="4BC6772F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C2E9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Widowed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36BE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 (1.12–1.43)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081F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5FDB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 (1.07–1.42)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48A9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</w:tr>
      <w:tr w:rsidR="00B73927" w14:paraId="5A46B806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7313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Single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27C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 (0.97–1.21)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BEA58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A0A0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 (0.97–1.21)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ED8F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0.150</w:t>
            </w:r>
          </w:p>
        </w:tc>
      </w:tr>
      <w:tr w:rsidR="00B73927" w14:paraId="227694BE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EA9C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Divorced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421D7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 (0.97–1.19)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31A2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5831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 (0.96–1.22)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FE7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0.206</w:t>
            </w:r>
          </w:p>
        </w:tc>
      </w:tr>
      <w:tr w:rsidR="00B73927" w14:paraId="1891DFE5" w14:textId="77777777">
        <w:trPr>
          <w:jc w:val="center"/>
        </w:trPr>
        <w:tc>
          <w:tcPr>
            <w:tcW w:w="2420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5119E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 Other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B703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 (1.04–1.37)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B50B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C67B9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 (1.04–1.39)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4007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</w:tr>
      <w:tr w:rsidR="00B73927" w14:paraId="56289852" w14:textId="77777777">
        <w:trPr>
          <w:jc w:val="center"/>
        </w:trPr>
        <w:tc>
          <w:tcPr>
            <w:tcW w:w="9639" w:type="dxa"/>
            <w:gridSpan w:val="5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1CCC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ᵃ Fully adjusted model = Adjust II in Table 2. CBPS-weighted (ATT estimand) Cox proportional hazards model with robust standard errors, adjusted for all 16 covariates listed in Table 1.</w:t>
            </w:r>
          </w:p>
        </w:tc>
      </w:tr>
      <w:tr w:rsidR="00B73927" w14:paraId="388F531F" w14:textId="77777777">
        <w:trPr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764D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ᵇ HR &lt; 1 favours </w:t>
            </w:r>
            <w:r>
              <w:rPr>
                <w:rFonts w:ascii="Times New Roman" w:hAnsi="Times New Roman" w:cs="Times New Roman" w:hint="eastAsia"/>
              </w:rPr>
              <w:t>surgery</w:t>
            </w:r>
            <w:r>
              <w:rPr>
                <w:rFonts w:ascii="Times New Roman" w:hAnsi="Times New Roman" w:cs="Times New Roman"/>
              </w:rPr>
              <w:t xml:space="preserve"> (lower mortality risk). 95% CI computed on the log-HR scale (profile likelihood). Rows labelled ‘1.00 (Reference)’ are the baseline levels of each categorical covariate.</w:t>
            </w:r>
          </w:p>
        </w:tc>
      </w:tr>
      <w:tr w:rsidR="00B73927" w14:paraId="2DA515AC" w14:textId="77777777">
        <w:trPr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9C82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ᶜ P values are from two-sided Wald tests. No adjustment for multiple comparisons is applied; covariates other than </w:t>
            </w:r>
            <w:r>
              <w:rPr>
                <w:rFonts w:ascii="Times New Roman" w:hAnsi="Times New Roman" w:cs="Times New Roman" w:hint="eastAsia"/>
              </w:rPr>
              <w:t>surgery</w:t>
            </w:r>
            <w:r>
              <w:rPr>
                <w:rFonts w:ascii="Times New Roman" w:hAnsi="Times New Roman" w:cs="Times New Roman"/>
              </w:rPr>
              <w:t xml:space="preserve"> _f </w:t>
            </w:r>
            <w:proofErr w:type="gramStart"/>
            <w:r>
              <w:rPr>
                <w:rFonts w:ascii="Times New Roman" w:hAnsi="Times New Roman" w:cs="Times New Roman"/>
              </w:rPr>
              <w:t>are</w:t>
            </w:r>
            <w:proofErr w:type="gramEnd"/>
            <w:r>
              <w:rPr>
                <w:rFonts w:ascii="Times New Roman" w:hAnsi="Times New Roman" w:cs="Times New Roman"/>
              </w:rPr>
              <w:t xml:space="preserve"> included as confounders, not as primary tests of association.</w:t>
            </w:r>
          </w:p>
        </w:tc>
      </w:tr>
      <w:tr w:rsidR="00B73927" w14:paraId="14846FE6" w14:textId="77777777">
        <w:trPr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D376F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 ‘Unknown’ and stage ‘Tx’</w:t>
            </w:r>
            <w:proofErr w:type="gramStart"/>
            <w:r>
              <w:rPr>
                <w:rFonts w:ascii="Times New Roman" w:hAnsi="Times New Roman" w:cs="Times New Roman"/>
              </w:rPr>
              <w:t>/‘</w:t>
            </w:r>
            <w:proofErr w:type="gramEnd"/>
            <w:r>
              <w:rPr>
                <w:rFonts w:ascii="Times New Roman" w:hAnsi="Times New Roman" w:cs="Times New Roman"/>
              </w:rPr>
              <w:t>Nx’ are retained as explicit levels (see Table 1 footnote ᶜᵈ).</w:t>
            </w:r>
          </w:p>
        </w:tc>
      </w:tr>
      <w:tr w:rsidR="00B73927" w14:paraId="2F77FF75" w14:textId="77777777">
        <w:trPr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5847A" w14:textId="77777777" w:rsidR="00B73927" w:rsidRDefault="00000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Abbreviations: CI, confidence interval; CSS, cancer-specific survival; HR, hazard ratio; NR, not reached; OS, overall survival; RCC, renal cell carcinoma; SHR, subdistribution hazard ratio; SMD, standardised mean difference.</w:t>
            </w:r>
          </w:p>
        </w:tc>
      </w:tr>
    </w:tbl>
    <w:p w14:paraId="298FFBC1" w14:textId="77777777" w:rsidR="00B73927" w:rsidRDefault="00B73927">
      <w:pPr>
        <w:rPr>
          <w:rFonts w:ascii="Times New Roman" w:hAnsi="Times New Roman" w:cs="Times New Roman"/>
        </w:rPr>
      </w:pPr>
    </w:p>
    <w:sectPr w:rsidR="00B73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5C94F" w14:textId="77777777" w:rsidR="00BD69DF" w:rsidRDefault="00BD69DF">
      <w:pPr>
        <w:spacing w:line="240" w:lineRule="auto"/>
      </w:pPr>
      <w:r>
        <w:separator/>
      </w:r>
    </w:p>
  </w:endnote>
  <w:endnote w:type="continuationSeparator" w:id="0">
    <w:p w14:paraId="053A1435" w14:textId="77777777" w:rsidR="00BD69DF" w:rsidRDefault="00BD69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8DE8" w14:textId="77777777" w:rsidR="00BD69DF" w:rsidRDefault="00BD69DF">
      <w:pPr>
        <w:spacing w:after="0"/>
      </w:pPr>
      <w:r>
        <w:separator/>
      </w:r>
    </w:p>
  </w:footnote>
  <w:footnote w:type="continuationSeparator" w:id="0">
    <w:p w14:paraId="47F3A7C6" w14:textId="77777777" w:rsidR="00BD69DF" w:rsidRDefault="00BD69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FA"/>
    <w:rsid w:val="00010402"/>
    <w:rsid w:val="0008247A"/>
    <w:rsid w:val="00132FFB"/>
    <w:rsid w:val="00266091"/>
    <w:rsid w:val="006A1981"/>
    <w:rsid w:val="00837674"/>
    <w:rsid w:val="00A449F4"/>
    <w:rsid w:val="00B73927"/>
    <w:rsid w:val="00BD69DF"/>
    <w:rsid w:val="00C135FA"/>
    <w:rsid w:val="00C30BC7"/>
    <w:rsid w:val="00C338E3"/>
    <w:rsid w:val="00D96413"/>
    <w:rsid w:val="00F30C54"/>
    <w:rsid w:val="0F4B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BBC29C"/>
  <w15:docId w15:val="{07D2476F-1C78-4A08-8D48-605AC76C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3568</Characters>
  <Application>Microsoft Office Word</Application>
  <DocSecurity>0</DocSecurity>
  <Lines>446</Lines>
  <Paragraphs>325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雄武 彭</dc:creator>
  <cp:lastModifiedBy>雄武 彭</cp:lastModifiedBy>
  <cp:revision>5</cp:revision>
  <dcterms:created xsi:type="dcterms:W3CDTF">2026-06-26T15:08:00Z</dcterms:created>
  <dcterms:modified xsi:type="dcterms:W3CDTF">2026-06-28T03:56:00Z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eyJoZGlkIjoiZjVjMzU5NzA5NjQyMDA2OTE0Y2UwMjhkYmI2NGNiOTciLCJ1c2VySWQiOiIyNTM4NzA0NjQifQ==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F0CA311E141946CF95899072D6977C36_12</vt:lpwstr>
  </property>
</Properties>
</file>