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280BC">
      <w:pPr>
        <w:rPr>
          <w:rFonts w:ascii="Times New Roman" w:hAnsi="Times New Roman" w:eastAsia="MS Gothic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eastAsia="MS Gothic" w:cs="Times New Roman"/>
          <w:kern w:val="0"/>
          <w:sz w:val="26"/>
          <w:szCs w:val="26"/>
          <w14:ligatures w14:val="none"/>
        </w:rPr>
        <w:t>Supplementary Tabl</w:t>
      </w:r>
      <w:bookmarkStart w:id="0" w:name="_GoBack"/>
      <w:bookmarkEnd w:id="0"/>
      <w:r>
        <w:rPr>
          <w:rFonts w:ascii="Times New Roman" w:hAnsi="Times New Roman" w:eastAsia="MS Gothic" w:cs="Times New Roman"/>
          <w:kern w:val="0"/>
          <w:sz w:val="26"/>
          <w:szCs w:val="26"/>
          <w14:ligatures w14:val="none"/>
        </w:rPr>
        <w:t>e</w:t>
      </w:r>
      <w:r>
        <w:rPr>
          <w:rFonts w:hint="eastAsia" w:ascii="Times New Roman" w:hAnsi="Times New Roman" w:cs="Times New Roman"/>
          <w:kern w:val="0"/>
          <w:sz w:val="26"/>
          <w:szCs w:val="26"/>
          <w14:ligatures w14:val="none"/>
        </w:rPr>
        <w:t xml:space="preserve"> 1</w:t>
      </w:r>
      <w:r>
        <w:rPr>
          <w:rFonts w:ascii="Times New Roman" w:hAnsi="Times New Roman" w:eastAsia="MS Gothic" w:cs="Times New Roman"/>
          <w:kern w:val="0"/>
          <w:sz w:val="26"/>
          <w:szCs w:val="26"/>
          <w14:ligatures w14:val="none"/>
        </w:rPr>
        <w:t>. Univariable (CBPS-weighted) Cox regression of treatment and prognostic factors (OS &amp; CSS)</w:t>
      </w:r>
    </w:p>
    <w:tbl>
      <w:tblPr>
        <w:tblStyle w:val="1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0"/>
        <w:gridCol w:w="1638"/>
        <w:gridCol w:w="1080"/>
        <w:gridCol w:w="1735"/>
        <w:gridCol w:w="1080"/>
      </w:tblGrid>
      <w:tr w14:paraId="09935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3" w:type="dxa"/>
            <w:gridSpan w:val="5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186F5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Univariable Cox regression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  <w14:ligatures w14:val="none"/>
              </w:rPr>
              <w:t>CBPS</w:t>
            </w: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-weighted)ᵃ</w:t>
            </w:r>
          </w:p>
        </w:tc>
      </w:tr>
      <w:tr w14:paraId="4E5DB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24226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Variable</w:t>
            </w:r>
          </w:p>
        </w:tc>
        <w:tc>
          <w:tcPr>
            <w:tcW w:w="163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0A483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HR (95% CI), OS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4276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-value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89740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HR (95% CI), CSS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F3D4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-value</w:t>
            </w:r>
          </w:p>
        </w:tc>
      </w:tr>
      <w:tr w14:paraId="31DB2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75F94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Treatment</w:t>
            </w:r>
          </w:p>
        </w:tc>
        <w:tc>
          <w:tcPr>
            <w:tcW w:w="1638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AA7E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81B8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64A9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75BD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54D32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0CD70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No surgery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623F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FAD1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09283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1A42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4AF14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01D6A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  Surgery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539E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0.44 (0.41–0.47)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A6CC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C6B8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0.45 (0.41–0.48)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70F4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12DD1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D58E3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Age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7C60C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57C1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5A3D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B5F1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055C4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3ECAB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&lt;50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B341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A1345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231C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BA45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45A13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50916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50–64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A6969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0.95 (0.88–1.04)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AA18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0.254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2D330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0.94 (0.86–1.03)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CC5E9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0.211</w:t>
            </w:r>
          </w:p>
        </w:tc>
      </w:tr>
      <w:tr w14:paraId="6899B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450F9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65–74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3441C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(0.92–1.10)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8D65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0.933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39E39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0.95 (0.86–1.05)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9C9A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0.320</w:t>
            </w:r>
          </w:p>
        </w:tc>
      </w:tr>
      <w:tr w14:paraId="7512E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4FA1B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≥75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BCDE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1.29 (1.18–1.42)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6E69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825BD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1.19 (1.08–1.32)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C8E1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64439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A80E5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Sex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FC56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4F62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3378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6840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127F3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401DA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Male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7B54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3322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7BA3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FA4B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5A46F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ACC31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Female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84EE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1.03 (0.97–1.10)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83C0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0.334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49EC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1.03 (0.97–1.10)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C334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0.325</w:t>
            </w:r>
          </w:p>
        </w:tc>
      </w:tr>
      <w:tr w14:paraId="2EDF5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2B73D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Year of diagnosis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C9FE4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EA3B4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AFAD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7059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126CF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74D2F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2005–2010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8EF39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E2DC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0185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2C003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13E67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B9E06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2011–2015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A37C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0.88 (0.82–0.93)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AA0D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91FE3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0.86 (0.81–0.93)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921E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2E3AC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B983F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2016–2020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C53B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0.62 (0.57–0.67)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59C55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B298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0.58 (0.54–0.63)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589F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3AF52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9C4E2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Race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2D69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F1314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BD74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DD58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657F7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AE2C8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White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AF6C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9641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1AA9D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AFE0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00095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ECCB1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Black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F85F5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1.18 (1.05–1.32)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2D1C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0.005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7C8D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1.19 (1.05–1.34)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FD2DD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0.005</w:t>
            </w:r>
          </w:p>
        </w:tc>
      </w:tr>
      <w:tr w14:paraId="70CC6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88F15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Other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5BC00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0.90 (0.80–1.00)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A02F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0.057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FAEF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0.94 (0.84–1.05)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91F24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0.260</w:t>
            </w:r>
          </w:p>
        </w:tc>
      </w:tr>
      <w:tr w14:paraId="45E94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3CC10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Grade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8718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841A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B75F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862F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1665B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E9AA9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I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01B90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E38C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61A5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D5DD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45C75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E2123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II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A0D8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1.05 (0.89–1.23)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6281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0.571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D0D1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1.05 (0.88–1.26)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B28C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0.581</w:t>
            </w:r>
          </w:p>
        </w:tc>
      </w:tr>
      <w:tr w14:paraId="59482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3A0CE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III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CB109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1.37 (1.17–1.60)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09AE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4959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1.43 (1.21–1.70)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CC39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6DCE5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1A7DC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IV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186C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1.72 (1.46–2.02)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D452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3E654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1.83 (1.54–2.18)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7FE93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645C4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CAF12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Unknown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51BE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1.23 (1.06–1.43)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D63DD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0.007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CC61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1.26 (1.06–1.48)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7372B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0.007</w:t>
            </w:r>
          </w:p>
        </w:tc>
      </w:tr>
      <w:tr w14:paraId="728B7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C744C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Laterality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64FC3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EE8F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C58F9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E0B1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1D603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F5C70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Left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A284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8F64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DCA2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02BE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0EE30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3622D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Right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A13C4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0.95 (0.90–1.01)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5219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0.098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774F3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0.95 (0.89–1.01)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E843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0.081</w:t>
            </w:r>
          </w:p>
        </w:tc>
      </w:tr>
      <w:tr w14:paraId="0BA92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98F6E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Histologic type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0303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6DC90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862B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F0D2D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6C320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C975D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Clear cell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7D1C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8B1F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01A4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E30C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15C4C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62473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Papillary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13EE5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1.45 (1.28–1.66)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6BF5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758E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1.49 (1.30–1.70)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9754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61751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5BDB5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Chromophobe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BA48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0.90 (0.70–1.16)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42F8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0.421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02F5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0.90 (0.68–1.19)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64DD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0.459</w:t>
            </w:r>
          </w:p>
        </w:tc>
      </w:tr>
      <w:tr w14:paraId="5B3FC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1A708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Sarcomatoid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1C0E3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2.38 (2.07–2.73)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19C4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54B80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2.53 (2.20–2.91)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E431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7DB25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1376A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NOS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7BCB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2.09 (1.78–2.46)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099B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4FEE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2.11 (1.76–2.53)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2E6E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42A3E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6DFBD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Other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22B00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1.48 (1.38–1.58)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89AE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C8715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1.49 (1.39–1.60)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71CA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73604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4E087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T stage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6513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6915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2485D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EF380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79858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63310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T1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1C54D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B08AB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85EF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FF135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70412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4CD5F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T2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77BB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1.10 (1.01–1.19)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2234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F2D2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1.19 (1.09–1.31)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5433B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53A54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549D7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T3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E7F9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1.22 (1.13–1.31)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0BBE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6ACF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1.33 (1.22–1.44)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77F23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36021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84A21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T4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085E5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1.60 (1.44–1.78)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D549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4149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1.79 (1.60–2.00)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744AB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6E07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62503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Tx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69983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1.06 (0.85–1.33)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C23FD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0.579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D5BE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1.17 (0.93–1.46)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A9EB4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0.175</w:t>
            </w:r>
          </w:p>
        </w:tc>
      </w:tr>
      <w:tr w14:paraId="1CE52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58DD0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N stage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E296C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7EB4D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AC55B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232D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44154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8308F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N0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BA50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7F26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A93C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54FD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4EBD0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C1C7B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N1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D543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1.48 (1.37–1.59)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5221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9BCAC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1.53 (1.42–1.66)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7F70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63E5C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88768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Nx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F7E3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1.70 (1.57–1.84)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9F13B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8117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1.77 (1.62–1.93)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2E270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01370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BC9B8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Radiation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63930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CB9C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F2C3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02F65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12C41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C5E86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No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2F95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39E6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08033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319DD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7A4D3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D78A1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Yes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97DB9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1.25 (1.18–1.33)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8F5C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8B4E4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1.30 (1.22–1.38)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08F7B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469E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F1D5E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Chemotherapy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691DD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6A8B9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3881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8ADC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2B9E4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95F89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No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2DF23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72FC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1055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6B3D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2803E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B1567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Yes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10FF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1.01 (0.96–1.07)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D96B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0.693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D0370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1.08 (1.01–1.15)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C8A9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0.020</w:t>
            </w:r>
          </w:p>
        </w:tc>
      </w:tr>
      <w:tr w14:paraId="147B8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870C9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Tumour size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B9C3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40773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EA61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675A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11CE9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EAD7D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≤4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26BA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7C373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1E2F3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C6BC0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7178D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AC066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4–7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3F0FC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1.12 (0.99–1.26)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0A48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0.064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5871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1.17 (1.01–1.36)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D783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</w:tr>
      <w:tr w14:paraId="10069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4516B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&gt;7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45DCB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1.17 (1.05–1.31)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F327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0.005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0445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1.29 (1.12–1.48)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BA005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274DB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92B50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Sequence number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F7CCB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364B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AB85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E938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343CC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C6BA8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First/only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AF8C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5CD2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CC84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C4E1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1F898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C102E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Second+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57500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(0.93–1.08)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654F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785DD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0.89 (0.81–0.98)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7573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0.018</w:t>
            </w:r>
          </w:p>
        </w:tc>
      </w:tr>
      <w:tr w14:paraId="5CEF8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F5A71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Number of tumours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D8F59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10B3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74A0C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06069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203BC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C7FF9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660E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14C7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F98C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49D1B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2B115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FE15F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5D543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0.83 (0.77–0.89)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3421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A7CB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0.74 (0.67–0.80)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F3999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131AB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C3956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3+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08449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0.74 (0.63–0.86)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FE1E0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923D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0.56 (0.45–0.70)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1DF2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0004A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0D0FE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Median household income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E5911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BD53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06CDD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D1CB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41968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D0C1D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&lt;45 k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680F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E4F8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EF3E5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F74F4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35D85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71EE4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45–75 k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8EDA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0.88 (0.76–1.03)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26E9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0.117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A97C4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0.91 (0.75–1.09)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CF10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0.306</w:t>
            </w:r>
          </w:p>
        </w:tc>
      </w:tr>
      <w:tr w14:paraId="60E9C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73D92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≥75 k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1E91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0.81 (0.69–0.94)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9375C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D89E2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0.83 (0.69–1.01)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F6530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0.057</w:t>
            </w:r>
          </w:p>
        </w:tc>
      </w:tr>
      <w:tr w14:paraId="1EA6B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973C3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Marital status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AA409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3967C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0D9C6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F651C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31C14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65775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Married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6256E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6C59A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77A37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1.00 (Reference)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85E95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14:paraId="5FB95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BA128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Widowed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25E49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1.32 (1.19–1.45)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7FFCC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CF074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1.26 (1.13–1.41)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16695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14:paraId="64B47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1DBF8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Single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0A0A5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1.07 (0.97–1.17)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FB4D5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0.161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90F84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1.08 (0.98–1.18)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52760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0.126</w:t>
            </w:r>
          </w:p>
        </w:tc>
      </w:tr>
      <w:tr w14:paraId="502D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9CC83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Divorced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7CA28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1.08 (0.99–1.18)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33115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0.077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EB039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1.09 (0.99–1.20)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B3A05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0.089</w:t>
            </w:r>
          </w:p>
        </w:tc>
      </w:tr>
      <w:tr w14:paraId="61383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ADD81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  Other</w:t>
            </w:r>
          </w:p>
        </w:tc>
        <w:tc>
          <w:tcPr>
            <w:tcW w:w="163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05A8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1.11 (0.97–1.26)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ED85F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0.119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F85BB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1.11 (0.96–1.27)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A533D">
            <w:pPr>
              <w:widowControl/>
              <w:spacing w:before="100" w:after="100" w:line="240" w:lineRule="auto"/>
              <w:ind w:left="100" w:right="100"/>
              <w:jc w:val="center"/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6"/>
                <w:szCs w:val="16"/>
                <w14:ligatures w14:val="none"/>
              </w:rPr>
              <w:t>0.156</w:t>
            </w:r>
          </w:p>
        </w:tc>
      </w:tr>
      <w:tr w14:paraId="09A36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3" w:type="dxa"/>
            <w:gridSpan w:val="5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A2BE9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4"/>
                <w:szCs w:val="14"/>
                <w14:ligatures w14:val="none"/>
              </w:rPr>
              <w:t>ᵃ Univariable Cox proportional-hazards models, fitted separately for each variable on the IPTW-weighted cohort (ATT estimand; same weights as Tables 2 and 2b) with robust (sandwich) standard errors. Each cell is the weighted marginal association of that single variable with the outcome; it is NOT a crude/unweighted estimate, and it is not mutually adjusted for the other variables. Mutually adjusted (multivariable) estimates are given in Table 3.</w:t>
            </w:r>
          </w:p>
        </w:tc>
      </w:tr>
      <w:tr w14:paraId="44A19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51849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Note on the weights: the IPTW weights were estimated to balance the covariate distribution between the </w:t>
            </w:r>
            <w:r>
              <w:rPr>
                <w:rFonts w:hint="eastAsia" w:ascii="Times New Roman" w:hAnsi="Times New Roman" w:eastAsia="MS Mincho" w:cs="Times New Roman"/>
                <w:color w:val="000000"/>
                <w:kern w:val="0"/>
                <w:sz w:val="14"/>
                <w:szCs w:val="14"/>
                <w14:ligatures w14:val="none"/>
              </w:rPr>
              <w:t>surgery</w:t>
            </w:r>
            <w:r>
              <w:rPr>
                <w:rFonts w:ascii="Times New Roman" w:hAnsi="Times New Roman" w:eastAsia="MS Mincho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and no-surgery groups (treatment), not with respect to any individual prognostic factor; these weighted univariable associations should therefore be read as descriptive.</w:t>
            </w:r>
          </w:p>
        </w:tc>
      </w:tr>
      <w:tr w14:paraId="1FA2C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0358B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4"/>
                <w:szCs w:val="14"/>
                <w14:ligatures w14:val="none"/>
              </w:rPr>
              <w:t>Rows labelled ‘1.00 (Reference)’ are the baseline level of each categorical variable. Grade ‘Unknown’ and stage ‘Tx’/‘Nx’ are retained as explicit levels.</w:t>
            </w:r>
          </w:p>
        </w:tc>
      </w:tr>
      <w:tr w14:paraId="0E700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D18DF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4"/>
                <w:szCs w:val="14"/>
                <w14:ligatures w14:val="none"/>
              </w:rPr>
              <w:t>P values are from two-sided Wald tests; no adjustment for multiple comparisons is applied.</w:t>
            </w:r>
          </w:p>
        </w:tc>
      </w:tr>
      <w:tr w14:paraId="7316A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CF958">
            <w:pPr>
              <w:widowControl/>
              <w:spacing w:before="100" w:after="100" w:line="240" w:lineRule="auto"/>
              <w:ind w:left="100" w:right="100"/>
              <w:rPr>
                <w:rFonts w:ascii="Times New Roman" w:hAnsi="Times New Roman" w:eastAsia="MS Mincho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hAnsi="Times New Roman" w:eastAsia="MS Mincho" w:cs="Times New Roman"/>
                <w:color w:val="000000"/>
                <w:kern w:val="0"/>
                <w:sz w:val="14"/>
                <w:szCs w:val="14"/>
                <w14:ligatures w14:val="none"/>
              </w:rPr>
              <w:t>Abbreviations: CI, confidence interval; CSS, cancer-specific survival; HR, hazard ratio; NR, not reached; OS, overall survival; RCC, renal cell carcinoma; SHR, subdistribution hazard ratio; SMD, standardised mean difference.</w:t>
            </w:r>
          </w:p>
        </w:tc>
      </w:tr>
    </w:tbl>
    <w:p w14:paraId="64E88F41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E59"/>
    <w:rsid w:val="0008247A"/>
    <w:rsid w:val="001C35FE"/>
    <w:rsid w:val="002D642B"/>
    <w:rsid w:val="00356675"/>
    <w:rsid w:val="005F32AD"/>
    <w:rsid w:val="0072329D"/>
    <w:rsid w:val="00A449F4"/>
    <w:rsid w:val="00CC6E59"/>
    <w:rsid w:val="00F30C54"/>
    <w:rsid w:val="2F371B62"/>
    <w:rsid w:val="5461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583</Words>
  <Characters>3698</Characters>
  <Lines>433</Lines>
  <Paragraphs>328</Paragraphs>
  <TotalTime>4</TotalTime>
  <ScaleCrop>false</ScaleCrop>
  <LinksUpToDate>false</LinksUpToDate>
  <CharactersWithSpaces>4122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2026-06-26T15:16:00Z</dcterms:created>
  <dc:creator>雄武 彭</dc:creator>
  <cp:lastModifiedBy>初心</cp:lastModifiedBy>
  <dcterms:modified xsi:type="dcterms:W3CDTF">2026-06-26T16:32:15Z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eyJoZGlkIjoiZjVjMzU5NzA5NjQyMDA2OTE0Y2UwMjhkYmI2NGNiOTciLCJ1c2VySWQiOiIyNTM4NzA0NjQifQ==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F2A3730DF61940AC8F9DEFC2840448EA_12</vt:lpwstr>
  </property>
</Properties>
</file>