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04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cs="Times New Roman"/>
        </w:rPr>
        <w:t>. Overall and cancer-specific survival by treatment group (CBPS-weighted Kaplan–Meier)</w:t>
      </w: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2"/>
        <w:gridCol w:w="2512"/>
        <w:gridCol w:w="2512"/>
      </w:tblGrid>
      <w:tr w14:paraId="5905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236" w:type="dxa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4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Weighted Kaplan–Meier estimatesᵃ</w:t>
            </w:r>
          </w:p>
        </w:tc>
      </w:tr>
      <w:tr w14:paraId="08B29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2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C9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/ Statistic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2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surgeryᵈ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0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Surgeryᵈ</w:t>
            </w:r>
          </w:p>
        </w:tc>
      </w:tr>
      <w:tr w14:paraId="40FCA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C5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 survival</w:t>
            </w:r>
          </w:p>
        </w:tc>
        <w:tc>
          <w:tcPr>
            <w:tcW w:w="251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F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CEFC">
            <w:pPr>
              <w:rPr>
                <w:rFonts w:ascii="Times New Roman" w:hAnsi="Times New Roman" w:cs="Times New Roman"/>
              </w:rPr>
            </w:pPr>
          </w:p>
        </w:tc>
      </w:tr>
      <w:tr w14:paraId="747D5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F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Weighted N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AAF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12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7497</w:t>
            </w:r>
          </w:p>
        </w:tc>
      </w:tr>
      <w:tr w14:paraId="1A5ED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Median survival (95% CI; months)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E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(6–8)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7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(24–26)</w:t>
            </w:r>
          </w:p>
        </w:tc>
      </w:tr>
      <w:tr w14:paraId="7A6E9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33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1-year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D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35.26% (32.66%–38.06%)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9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66.98% (65.92%–68.05%)</w:t>
            </w:r>
          </w:p>
        </w:tc>
      </w:tr>
      <w:tr w14:paraId="2CA7D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5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3-year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5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13.42% (11.60%–15.52%)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6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39.88% (38.78%–41.02%)</w:t>
            </w:r>
          </w:p>
        </w:tc>
      </w:tr>
      <w:tr w14:paraId="26F1B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9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5-year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4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6.98% (5.56%–8.76%)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2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26.73% (25.69%–27.80%)</w:t>
            </w:r>
          </w:p>
        </w:tc>
      </w:tr>
      <w:tr w14:paraId="0DD2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B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Cancer-specific survival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AD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1AED">
            <w:pPr>
              <w:rPr>
                <w:rFonts w:ascii="Times New Roman" w:hAnsi="Times New Roman" w:cs="Times New Roman"/>
              </w:rPr>
            </w:pPr>
          </w:p>
        </w:tc>
      </w:tr>
      <w:tr w14:paraId="55585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B7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Weighted N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48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4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7497</w:t>
            </w:r>
          </w:p>
        </w:tc>
      </w:tr>
      <w:tr w14:paraId="434EE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70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Median survival (95% CI; months)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8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(7–9)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AE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(26–28)</w:t>
            </w:r>
          </w:p>
        </w:tc>
      </w:tr>
      <w:tr w14:paraId="3934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8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1-year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2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37.82% (35.14%–40.72%)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B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68.60% (67.55%–69.67%)</w:t>
            </w:r>
          </w:p>
        </w:tc>
      </w:tr>
      <w:tr w14:paraId="7576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7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3-year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D9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16.04% (13.96%–18.43%)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8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42.66% (41.52%–43.82%)</w:t>
            </w:r>
          </w:p>
        </w:tc>
      </w:tr>
      <w:tr w14:paraId="254B1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E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5-year survival (95% CI)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0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9.91% (8.05%–12.20%)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B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30.35% (29.25%–31.50%)</w:t>
            </w:r>
          </w:p>
        </w:tc>
      </w:tr>
      <w:tr w14:paraId="15B43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03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ᵃ Survival estimates from </w:t>
            </w:r>
            <w:r>
              <w:rPr>
                <w:rFonts w:hint="eastAsia" w:ascii="Times New Roman" w:hAnsi="Times New Roman" w:cs="Times New Roman"/>
                <w:lang w:eastAsia="zh-CN"/>
              </w:rPr>
              <w:t>CBPS</w:t>
            </w:r>
            <w:r>
              <w:rPr>
                <w:rFonts w:ascii="Times New Roman" w:hAnsi="Times New Roman" w:cs="Times New Roman"/>
              </w:rPr>
              <w:t xml:space="preserve">-weighted Kaplan–Meier curves (survfit with weights; ATT estimand). Weights for the </w:t>
            </w:r>
            <w:r>
              <w:rPr>
                <w:rFonts w:hint="eastAsia" w:ascii="Times New Roman" w:hAnsi="Times New Roman" w:cs="Times New Roman"/>
              </w:rPr>
              <w:t xml:space="preserve">surgery </w:t>
            </w:r>
            <w:r>
              <w:rPr>
                <w:rFonts w:ascii="Times New Roman" w:hAnsi="Times New Roman" w:cs="Times New Roman"/>
              </w:rPr>
              <w:t xml:space="preserve">group = 1; control-group weights are the </w:t>
            </w:r>
            <w:r>
              <w:rPr>
                <w:rFonts w:hint="eastAsia" w:ascii="Times New Roman" w:hAnsi="Times New Roman" w:cs="Times New Roman"/>
                <w:lang w:eastAsia="zh-CN"/>
              </w:rPr>
              <w:t>CBPS</w:t>
            </w:r>
            <w:r>
              <w:rPr>
                <w:rFonts w:ascii="Times New Roman" w:hAnsi="Times New Roman" w:cs="Times New Roman"/>
              </w:rPr>
              <w:t xml:space="preserve"> weights from Table 1. Log-log transformation used for confidence interval construction.</w:t>
            </w:r>
          </w:p>
        </w:tc>
      </w:tr>
      <w:tr w14:paraId="6687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B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ᵇ NR (not reached): the median survival time could not be estimated because fewer than 50% of patients had died by the end of follow-up (60 months). In this case, the lower 95% CI bound is reported where estimable, and the upper bound is NR.</w:t>
            </w:r>
          </w:p>
        </w:tc>
      </w:tr>
      <w:tr w14:paraId="4E041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8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ᶜ 95% CI computed using the log-log (complementary log-log) transformation of the survival function to ensure CI bounds remain within [0, 1]. Robust standard errors (robust = TRUE) are used.</w:t>
            </w:r>
          </w:p>
        </w:tc>
      </w:tr>
      <w:tr w14:paraId="07E4F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7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ᵈ N is the weighted sample size (sum of </w:t>
            </w:r>
            <w:r>
              <w:rPr>
                <w:rFonts w:hint="eastAsia" w:ascii="Times New Roman" w:hAnsi="Times New Roman" w:cs="Times New Roman"/>
                <w:lang w:eastAsia="zh-CN"/>
              </w:rPr>
              <w:t>CBPS</w:t>
            </w:r>
            <w:r>
              <w:rPr>
                <w:rFonts w:ascii="Times New Roman" w:hAnsi="Times New Roman" w:cs="Times New Roman"/>
              </w:rPr>
              <w:t xml:space="preserve"> weights), matching the Figure 2C–D risk tables. </w:t>
            </w:r>
            <w:r>
              <w:rPr>
                <w:rFonts w:hint="eastAsia" w:ascii="Times New Roman" w:hAnsi="Times New Roman" w:cs="Times New Roman"/>
              </w:rPr>
              <w:t>Surgery</w:t>
            </w:r>
            <w:r>
              <w:rPr>
                <w:rFonts w:ascii="Times New Roman" w:hAnsi="Times New Roman" w:cs="Times New Roman"/>
              </w:rPr>
              <w:t>-group weights = 1, so its weighted N equals the raw count; the no-surgery weighted N is the effective sample size after weighting. The ATT estimand retains all subjects (no matching is performed).</w:t>
            </w:r>
          </w:p>
        </w:tc>
      </w:tr>
      <w:tr w14:paraId="5128B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E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points: 1 year (12 months), 3 years (36 months), 5 years (60 months) from diagnosis. OS = all-cause survival; CSS = survival free from RCC-specific death.</w:t>
            </w:r>
          </w:p>
        </w:tc>
      </w:tr>
      <w:tr w14:paraId="77AD0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8B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Abbreviations: CN, cytoreductive nephrectomy; CI, confidence interval;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4717154B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EE"/>
    <w:rsid w:val="0008247A"/>
    <w:rsid w:val="002D6881"/>
    <w:rsid w:val="00395F9C"/>
    <w:rsid w:val="00870108"/>
    <w:rsid w:val="00980EEE"/>
    <w:rsid w:val="00A449F4"/>
    <w:rsid w:val="00DC4B82"/>
    <w:rsid w:val="00F01441"/>
    <w:rsid w:val="00F30C54"/>
    <w:rsid w:val="2A4331B4"/>
    <w:rsid w:val="4D414492"/>
    <w:rsid w:val="6D10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1864</Characters>
  <Lines>62</Lines>
  <Paragraphs>50</Paragraphs>
  <TotalTime>2</TotalTime>
  <ScaleCrop>false</ScaleCrop>
  <LinksUpToDate>false</LinksUpToDate>
  <CharactersWithSpaces>2157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2026-06-26T15:14:00Z</dcterms:created>
  <dc:creator>雄武 彭</dc:creator>
  <cp:lastModifiedBy>初心</cp:lastModifiedBy>
  <dcterms:modified xsi:type="dcterms:W3CDTF">2026-06-28T03:55:05Z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587F28E5A824479FA6B5B0EB6F94D9DA_12</vt:lpwstr>
  </property>
</Properties>
</file>