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8"/>
        </w:rPr>
        <w:t>Supplementary material</w:t>
      </w:r>
    </w:p>
    <w:p>
      <w:r>
        <w:rPr>
          <w:i/>
        </w:rPr>
        <w:t>Prevalence, anatomical pattern and modifiable risk factors of peptic ulcer disease among patients undergoing upper gastrointestinal endoscopy in central Nepal: a cross-sectional and nested matched case–control study</w:t>
      </w:r>
    </w:p>
    <w:p>
      <w:pPr>
        <w:spacing w:before="200"/>
      </w:pPr>
      <w:r>
        <w:rPr>
          <w:b/>
        </w:rPr>
        <w:t xml:space="preserve">Supplementary Table S1. </w:t>
      </w:r>
      <w:r>
        <w:t>Sensitivity of the multivariable model for peptic ulcer disease to missing risk-factor data. Adjusted odds ratios (95% CI) from four approaches.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2160"/>
            <w:shd w:fill="2E5A88" w:val="clear"/>
          </w:tcPr>
          <w:p>
            <w:pPr>
              <w:spacing w:line="240" w:lineRule="auto"/>
            </w:pPr>
            <w:r>
              <w:rPr>
                <w:b/>
                <w:color w:val="FFFFFF"/>
                <w:sz w:val="18"/>
              </w:rPr>
              <w:t>Variable</w:t>
            </w:r>
          </w:p>
        </w:tc>
        <w:tc>
          <w:tcPr>
            <w:tcW w:type="dxa" w:w="2232"/>
            <w:shd w:fill="2E5A88" w:val="clear"/>
          </w:tcPr>
          <w:p>
            <w:pPr>
              <w:spacing w:line="240" w:lineRule="auto"/>
            </w:pPr>
            <w:r>
              <w:rPr>
                <w:b/>
                <w:color w:val="FFFFFF"/>
                <w:sz w:val="18"/>
              </w:rPr>
              <w:t>Complete-case</w:t>
              <w:br/>
              <w:t>(n=268)</w:t>
            </w:r>
          </w:p>
        </w:tc>
        <w:tc>
          <w:tcPr>
            <w:tcW w:type="dxa" w:w="2448"/>
            <w:shd w:fill="2E5A88" w:val="clear"/>
          </w:tcPr>
          <w:p>
            <w:pPr>
              <w:spacing w:line="240" w:lineRule="auto"/>
            </w:pPr>
            <w:r>
              <w:rPr>
                <w:b/>
                <w:color w:val="FFFFFF"/>
                <w:sz w:val="18"/>
              </w:rPr>
              <w:t>Multiple imputation</w:t>
              <w:br/>
              <w:t>(M=25; n=671)</w:t>
            </w:r>
          </w:p>
        </w:tc>
        <w:tc>
          <w:tcPr>
            <w:tcW w:type="dxa" w:w="2160"/>
            <w:shd w:fill="2E5A88" w:val="clear"/>
          </w:tcPr>
          <w:p>
            <w:pPr>
              <w:spacing w:line="240" w:lineRule="auto"/>
            </w:pPr>
            <w:r>
              <w:rPr>
                <w:b/>
                <w:color w:val="FFFFFF"/>
                <w:sz w:val="18"/>
              </w:rPr>
              <w:t>ND = 'No' bound</w:t>
              <w:br/>
              <w:t>(n=671)</w:t>
            </w:r>
          </w:p>
        </w:tc>
        <w:tc>
          <w:tcPr>
            <w:tcW w:type="dxa" w:w="2448"/>
            <w:shd w:fill="2E5A88" w:val="clear"/>
          </w:tcPr>
          <w:p>
            <w:pPr>
              <w:spacing w:line="240" w:lineRule="auto"/>
            </w:pPr>
            <w:r>
              <w:rPr>
                <w:b/>
                <w:color w:val="FFFFFF"/>
                <w:sz w:val="18"/>
              </w:rPr>
              <w:t>Conditional logistic</w:t>
              <w:br/>
              <w:t>(97 matched sets)</w:t>
            </w:r>
          </w:p>
        </w:tc>
      </w:tr>
      <w:tr>
        <w:tc>
          <w:tcPr>
            <w:tcW w:type="dxa" w:w="2160"/>
          </w:tcPr>
          <w:p>
            <w:pPr>
              <w:spacing w:line="240" w:lineRule="auto"/>
            </w:pPr>
            <w:r>
              <w:rPr>
                <w:b/>
                <w:sz w:val="18"/>
              </w:rPr>
              <w:t>NSAID use</w:t>
            </w:r>
          </w:p>
        </w:tc>
        <w:tc>
          <w:tcPr>
            <w:tcW w:type="dxa" w:w="2232"/>
          </w:tcPr>
          <w:p>
            <w:pPr>
              <w:spacing w:line="240" w:lineRule="auto"/>
            </w:pPr>
            <w:r>
              <w:rPr>
                <w:sz w:val="18"/>
              </w:rPr>
              <w:t>7.41 (2.09–26.29); p=0.002</w:t>
            </w:r>
          </w:p>
        </w:tc>
        <w:tc>
          <w:tcPr>
            <w:tcW w:type="dxa" w:w="2448"/>
          </w:tcPr>
          <w:p>
            <w:pPr>
              <w:spacing w:line="240" w:lineRule="auto"/>
            </w:pPr>
            <w:r>
              <w:rPr>
                <w:sz w:val="18"/>
              </w:rPr>
              <w:t>8.92 (2.48–32.08); p=&lt;0.001</w:t>
            </w:r>
          </w:p>
        </w:tc>
        <w:tc>
          <w:tcPr>
            <w:tcW w:type="dxa" w:w="2160"/>
          </w:tcPr>
          <w:p>
            <w:pPr>
              <w:spacing w:line="240" w:lineRule="auto"/>
            </w:pPr>
            <w:r>
              <w:rPr>
                <w:sz w:val="18"/>
              </w:rPr>
              <w:t>10.75 (3.05–37.89); p=&lt;0.001</w:t>
            </w:r>
          </w:p>
        </w:tc>
        <w:tc>
          <w:tcPr>
            <w:tcW w:type="dxa" w:w="2448"/>
          </w:tcPr>
          <w:p>
            <w:pPr>
              <w:spacing w:line="240" w:lineRule="auto"/>
            </w:pPr>
            <w:r>
              <w:rPr>
                <w:sz w:val="18"/>
              </w:rPr>
              <w:t>8.45 (1.74–40.92); p=0.008</w:t>
            </w:r>
          </w:p>
        </w:tc>
      </w:tr>
      <w:tr>
        <w:tc>
          <w:tcPr>
            <w:tcW w:type="dxa" w:w="2160"/>
          </w:tcPr>
          <w:p>
            <w:pPr>
              <w:spacing w:line="240" w:lineRule="auto"/>
            </w:pPr>
            <w:r>
              <w:rPr>
                <w:b/>
                <w:sz w:val="18"/>
              </w:rPr>
              <w:t>Smoking (ever)</w:t>
            </w:r>
          </w:p>
        </w:tc>
        <w:tc>
          <w:tcPr>
            <w:tcW w:type="dxa" w:w="2232"/>
          </w:tcPr>
          <w:p>
            <w:pPr>
              <w:spacing w:line="240" w:lineRule="auto"/>
            </w:pPr>
            <w:r>
              <w:rPr>
                <w:sz w:val="18"/>
              </w:rPr>
              <w:t>2.11 (1.08–4.14); p=0.029</w:t>
            </w:r>
          </w:p>
        </w:tc>
        <w:tc>
          <w:tcPr>
            <w:tcW w:type="dxa" w:w="2448"/>
          </w:tcPr>
          <w:p>
            <w:pPr>
              <w:spacing w:line="240" w:lineRule="auto"/>
            </w:pPr>
            <w:r>
              <w:rPr>
                <w:sz w:val="18"/>
              </w:rPr>
              <w:t>2.27 (1.23–4.19); p=0.009</w:t>
            </w:r>
          </w:p>
        </w:tc>
        <w:tc>
          <w:tcPr>
            <w:tcW w:type="dxa" w:w="2160"/>
          </w:tcPr>
          <w:p>
            <w:pPr>
              <w:spacing w:line="240" w:lineRule="auto"/>
            </w:pPr>
            <w:r>
              <w:rPr>
                <w:sz w:val="18"/>
              </w:rPr>
              <w:t>2.99 (1.55–5.76); p=0.001</w:t>
            </w:r>
          </w:p>
        </w:tc>
        <w:tc>
          <w:tcPr>
            <w:tcW w:type="dxa" w:w="2448"/>
          </w:tcPr>
          <w:p>
            <w:pPr>
              <w:spacing w:line="240" w:lineRule="auto"/>
            </w:pPr>
            <w:r>
              <w:rPr>
                <w:sz w:val="18"/>
              </w:rPr>
              <w:t>2.42 (1.08–5.43); p=0.031</w:t>
            </w:r>
          </w:p>
        </w:tc>
      </w:tr>
      <w:tr>
        <w:tc>
          <w:tcPr>
            <w:tcW w:type="dxa" w:w="2160"/>
          </w:tcPr>
          <w:p>
            <w:pPr>
              <w:spacing w:line="240" w:lineRule="auto"/>
            </w:pPr>
            <w:r>
              <w:rPr>
                <w:b/>
                <w:sz w:val="18"/>
              </w:rPr>
              <w:t>Alcohol use</w:t>
            </w:r>
          </w:p>
        </w:tc>
        <w:tc>
          <w:tcPr>
            <w:tcW w:type="dxa" w:w="2232"/>
          </w:tcPr>
          <w:p>
            <w:pPr>
              <w:spacing w:line="240" w:lineRule="auto"/>
            </w:pPr>
            <w:r>
              <w:rPr>
                <w:sz w:val="18"/>
              </w:rPr>
              <w:t>1.10 (0.64–1.87); p=0.736</w:t>
            </w:r>
          </w:p>
        </w:tc>
        <w:tc>
          <w:tcPr>
            <w:tcW w:type="dxa" w:w="2448"/>
          </w:tcPr>
          <w:p>
            <w:pPr>
              <w:spacing w:line="240" w:lineRule="auto"/>
            </w:pPr>
            <w:r>
              <w:rPr>
                <w:sz w:val="18"/>
              </w:rPr>
              <w:t>1.15 (0.66–2.00); p=0.625</w:t>
            </w:r>
          </w:p>
        </w:tc>
        <w:tc>
          <w:tcPr>
            <w:tcW w:type="dxa" w:w="2160"/>
          </w:tcPr>
          <w:p>
            <w:pPr>
              <w:spacing w:line="240" w:lineRule="auto"/>
            </w:pPr>
            <w:r>
              <w:rPr>
                <w:sz w:val="18"/>
              </w:rPr>
              <w:t>1.74 (1.11–2.71); p=0.015</w:t>
            </w:r>
          </w:p>
        </w:tc>
        <w:tc>
          <w:tcPr>
            <w:tcW w:type="dxa" w:w="2448"/>
          </w:tcPr>
          <w:p>
            <w:pPr>
              <w:spacing w:line="240" w:lineRule="auto"/>
            </w:pPr>
            <w:r>
              <w:rPr>
                <w:sz w:val="18"/>
              </w:rPr>
              <w:t>1.03 (0.55–1.93); p=0.934</w:t>
            </w:r>
          </w:p>
        </w:tc>
      </w:tr>
      <w:tr>
        <w:tc>
          <w:tcPr>
            <w:tcW w:type="dxa" w:w="2160"/>
          </w:tcPr>
          <w:p>
            <w:pPr>
              <w:spacing w:line="240" w:lineRule="auto"/>
            </w:pPr>
            <w:r>
              <w:rPr>
                <w:b/>
                <w:sz w:val="18"/>
              </w:rPr>
              <w:t>Age (per year)</w:t>
            </w:r>
          </w:p>
        </w:tc>
        <w:tc>
          <w:tcPr>
            <w:tcW w:type="dxa" w:w="2232"/>
          </w:tcPr>
          <w:p>
            <w:pPr>
              <w:spacing w:line="240" w:lineRule="auto"/>
            </w:pPr>
            <w:r>
              <w:rPr>
                <w:sz w:val="18"/>
              </w:rPr>
              <w:t>1.00 (0.99–1.02); p=0.758</w:t>
            </w:r>
          </w:p>
        </w:tc>
        <w:tc>
          <w:tcPr>
            <w:tcW w:type="dxa" w:w="2448"/>
          </w:tcPr>
          <w:p>
            <w:pPr>
              <w:spacing w:line="240" w:lineRule="auto"/>
            </w:pPr>
            <w:r>
              <w:rPr>
                <w:sz w:val="18"/>
              </w:rPr>
              <w:t>1.00 (0.99–1.01); p=0.628</w:t>
            </w:r>
          </w:p>
        </w:tc>
        <w:tc>
          <w:tcPr>
            <w:tcW w:type="dxa" w:w="2160"/>
          </w:tcPr>
          <w:p>
            <w:pPr>
              <w:spacing w:line="240" w:lineRule="auto"/>
            </w:pPr>
            <w:r>
              <w:rPr>
                <w:sz w:val="18"/>
              </w:rPr>
              <w:t>1.00 (0.99–1.01); p=0.792</w:t>
            </w:r>
          </w:p>
        </w:tc>
        <w:tc>
          <w:tcPr>
            <w:tcW w:type="dxa" w:w="2448"/>
          </w:tcPr>
          <w:p>
            <w:pPr>
              <w:spacing w:line="240" w:lineRule="auto"/>
            </w:pPr>
            <w:r>
              <w:rPr>
                <w:sz w:val="18"/>
              </w:rPr>
              <w:t>n/a (matched)</w:t>
            </w:r>
          </w:p>
        </w:tc>
      </w:tr>
      <w:tr>
        <w:tc>
          <w:tcPr>
            <w:tcW w:type="dxa" w:w="2160"/>
          </w:tcPr>
          <w:p>
            <w:pPr>
              <w:spacing w:line="240" w:lineRule="auto"/>
            </w:pPr>
            <w:r>
              <w:rPr>
                <w:b/>
                <w:sz w:val="18"/>
              </w:rPr>
              <w:t>Male sex</w:t>
            </w:r>
          </w:p>
        </w:tc>
        <w:tc>
          <w:tcPr>
            <w:tcW w:type="dxa" w:w="2232"/>
          </w:tcPr>
          <w:p>
            <w:pPr>
              <w:spacing w:line="240" w:lineRule="auto"/>
            </w:pPr>
            <w:r>
              <w:rPr>
                <w:sz w:val="18"/>
              </w:rPr>
              <w:t>1.09 (0.63–1.88); p=0.749</w:t>
            </w:r>
          </w:p>
        </w:tc>
        <w:tc>
          <w:tcPr>
            <w:tcW w:type="dxa" w:w="2448"/>
          </w:tcPr>
          <w:p>
            <w:pPr>
              <w:spacing w:line="240" w:lineRule="auto"/>
            </w:pPr>
            <w:r>
              <w:rPr>
                <w:sz w:val="18"/>
              </w:rPr>
              <w:t>1.04 (0.69–1.58); p=0.847</w:t>
            </w:r>
          </w:p>
        </w:tc>
        <w:tc>
          <w:tcPr>
            <w:tcW w:type="dxa" w:w="2160"/>
          </w:tcPr>
          <w:p>
            <w:pPr>
              <w:spacing w:line="240" w:lineRule="auto"/>
            </w:pPr>
            <w:r>
              <w:rPr>
                <w:sz w:val="18"/>
              </w:rPr>
              <w:t>0.97 (0.68–1.39); p=0.887</w:t>
            </w:r>
          </w:p>
        </w:tc>
        <w:tc>
          <w:tcPr>
            <w:tcW w:type="dxa" w:w="2448"/>
          </w:tcPr>
          <w:p>
            <w:pPr>
              <w:spacing w:line="240" w:lineRule="auto"/>
            </w:pPr>
            <w:r>
              <w:rPr>
                <w:sz w:val="18"/>
              </w:rPr>
              <w:t>n/a (matched)</w:t>
            </w:r>
          </w:p>
        </w:tc>
      </w:tr>
    </w:tbl>
    <w:p>
      <w:pPr>
        <w:spacing w:before="160"/>
      </w:pPr>
      <w:r>
        <w:rPr>
          <w:b/>
        </w:rPr>
        <w:t xml:space="preserve">Methods. </w:t>
      </w:r>
      <w:r>
        <w:rPr>
          <w:sz w:val="19"/>
        </w:rPr>
        <w:t>All models are multivariable logistic regressions of case status (peptic ulcer disease vs no ulcer) on age, sex, NSAID use, smoking and alcohol use, except the conditional logistic model, which conditions on the matched set and therefore estimates only the within-set exposure effects (age and sex are accounted for by matching). The complete-case analysis includes only patients with all model variables documented. Multiple imputation by chained equations (the primary sensitivity analysis) generated 25 imputed datasets under a missing-at-random assumption, with case status, age, sex and all candidate exposures in the imputation models; a bootstrap step propagated parameter uncertainty, and estimates were pooled using Rubin’s rules. The ‘not documented = No’ column recodes every undocumented exposure as absent and is included only as an implausible worst-case bound. The conditional logistic model is restricted to the 97 matched sets that retained the case and at least one control after excluding members with missing exposures and is expected to be the least powered.</w:t>
      </w:r>
    </w:p>
    <w:p>
      <w:r>
        <w:rPr>
          <w:b/>
        </w:rPr>
        <w:t xml:space="preserve">Interpretation. </w:t>
      </w:r>
      <w:r>
        <w:rPr>
          <w:sz w:val="19"/>
        </w:rPr>
        <w:t>The NSAID and smoking associations are stable in magnitude and direction across all four approaches; the multiple-imputation estimates (NSAID adjusted OR 8.92, smoking 2.27) are essentially identical to the complete-case estimates, and both associations persist — indeed strengthen — under the worst-case bound. Alcohol use is non-significant in every analysis except the worst-case bound, where its significance is an artefact of the implausible coding assumption. These results indicate that the complete-case conclusions are robust to the observed missingness.</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