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1B864" w14:textId="77777777" w:rsidR="00B078CC" w:rsidRPr="00FB1192" w:rsidRDefault="00B078CC" w:rsidP="00B078CC">
      <w:pPr>
        <w:pStyle w:val="Caption"/>
        <w:spacing w:after="0"/>
        <w:rPr>
          <w:b/>
          <w:bCs/>
          <w:i w:val="0"/>
          <w:iCs w:val="0"/>
          <w:color w:val="auto"/>
          <w:sz w:val="24"/>
          <w:szCs w:val="24"/>
        </w:rPr>
      </w:pPr>
      <w:r w:rsidRPr="00FB1192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b/>
          <w:bCs/>
          <w:i w:val="0"/>
          <w:iCs w:val="0"/>
          <w:color w:val="auto"/>
          <w:sz w:val="24"/>
          <w:szCs w:val="24"/>
        </w:rPr>
        <w:t>6</w:t>
      </w:r>
      <w:r w:rsidRPr="00FB1192"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Accidental and </w:t>
      </w:r>
      <w:r w:rsidRPr="00FB1192">
        <w:rPr>
          <w:b/>
          <w:bCs/>
          <w:i w:val="0"/>
          <w:iCs w:val="0"/>
          <w:color w:val="auto"/>
          <w:sz w:val="24"/>
          <w:szCs w:val="24"/>
        </w:rPr>
        <w:t>Intentional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combined</w:t>
      </w:r>
      <w:r w:rsidRPr="00FB1192">
        <w:rPr>
          <w:b/>
          <w:bCs/>
          <w:i w:val="0"/>
          <w:iCs w:val="0"/>
          <w:color w:val="auto"/>
          <w:sz w:val="24"/>
          <w:szCs w:val="24"/>
        </w:rPr>
        <w:t xml:space="preserve"> PODs - Suggested interventions to reduce PODs</w:t>
      </w:r>
    </w:p>
    <w:tbl>
      <w:tblPr>
        <w:tblStyle w:val="TableGrid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1418"/>
        <w:gridCol w:w="3118"/>
      </w:tblGrid>
      <w:tr w:rsidR="00B078CC" w:rsidRPr="00683201" w14:paraId="1DE95C54" w14:textId="77777777" w:rsidTr="00DE44B4">
        <w:trPr>
          <w:trHeight w:val="300"/>
        </w:trPr>
        <w:tc>
          <w:tcPr>
            <w:tcW w:w="9356" w:type="dxa"/>
            <w:gridSpan w:val="4"/>
            <w:shd w:val="clear" w:color="auto" w:fill="E8E8E8" w:themeFill="background2"/>
            <w:hideMark/>
          </w:tcPr>
          <w:p w14:paraId="3D4BBEF4" w14:textId="77777777" w:rsidR="00B078CC" w:rsidRPr="00683201" w:rsidRDefault="00B078CC" w:rsidP="00DE44B4">
            <w:pPr>
              <w:rPr>
                <w:b/>
                <w:bCs/>
                <w:sz w:val="18"/>
                <w:szCs w:val="18"/>
              </w:rPr>
            </w:pPr>
            <w:r w:rsidRPr="00683201">
              <w:rPr>
                <w:b/>
                <w:bCs/>
                <w:sz w:val="18"/>
                <w:szCs w:val="18"/>
              </w:rPr>
              <w:t>Accidental and Intentional</w:t>
            </w:r>
            <w:r>
              <w:rPr>
                <w:b/>
                <w:bCs/>
                <w:sz w:val="18"/>
                <w:szCs w:val="18"/>
              </w:rPr>
              <w:t xml:space="preserve"> combined </w:t>
            </w:r>
            <w:r w:rsidRPr="00683201">
              <w:rPr>
                <w:b/>
                <w:bCs/>
                <w:sz w:val="18"/>
                <w:szCs w:val="18"/>
              </w:rPr>
              <w:t>Paracetamol Overdoses Only-Interventions Suggested</w:t>
            </w:r>
          </w:p>
        </w:tc>
      </w:tr>
      <w:tr w:rsidR="00B078CC" w:rsidRPr="00683201" w14:paraId="18391D0C" w14:textId="77777777" w:rsidTr="00DE44B4">
        <w:trPr>
          <w:trHeight w:val="551"/>
        </w:trPr>
        <w:tc>
          <w:tcPr>
            <w:tcW w:w="1418" w:type="dxa"/>
            <w:shd w:val="clear" w:color="auto" w:fill="E8E8E8" w:themeFill="background2"/>
            <w:hideMark/>
          </w:tcPr>
          <w:p w14:paraId="1C87B326" w14:textId="77777777" w:rsidR="00B078CC" w:rsidRPr="00683201" w:rsidRDefault="00B078CC" w:rsidP="00DE44B4">
            <w:pPr>
              <w:rPr>
                <w:b/>
                <w:bCs/>
                <w:sz w:val="18"/>
                <w:szCs w:val="18"/>
              </w:rPr>
            </w:pPr>
            <w:r w:rsidRPr="00683201">
              <w:rPr>
                <w:b/>
                <w:bCs/>
                <w:sz w:val="18"/>
                <w:szCs w:val="18"/>
              </w:rPr>
              <w:t>Authors, year</w:t>
            </w:r>
          </w:p>
        </w:tc>
        <w:tc>
          <w:tcPr>
            <w:tcW w:w="3402" w:type="dxa"/>
            <w:shd w:val="clear" w:color="auto" w:fill="E8E8E8" w:themeFill="background2"/>
            <w:hideMark/>
          </w:tcPr>
          <w:p w14:paraId="1CF067DD" w14:textId="77777777" w:rsidR="00B078CC" w:rsidRPr="00683201" w:rsidRDefault="00B078CC" w:rsidP="00DE44B4">
            <w:pPr>
              <w:rPr>
                <w:b/>
                <w:bCs/>
                <w:sz w:val="18"/>
                <w:szCs w:val="18"/>
              </w:rPr>
            </w:pPr>
            <w:r w:rsidRPr="00683201">
              <w:rPr>
                <w:b/>
                <w:bCs/>
                <w:sz w:val="18"/>
                <w:szCs w:val="18"/>
              </w:rPr>
              <w:t>Interventions suggested to reduce POD</w:t>
            </w:r>
          </w:p>
        </w:tc>
        <w:tc>
          <w:tcPr>
            <w:tcW w:w="1418" w:type="dxa"/>
            <w:shd w:val="clear" w:color="auto" w:fill="E8E8E8" w:themeFill="background2"/>
            <w:hideMark/>
          </w:tcPr>
          <w:p w14:paraId="4DCD3F75" w14:textId="77777777" w:rsidR="00B078CC" w:rsidRPr="00683201" w:rsidRDefault="00B078CC" w:rsidP="00DE44B4">
            <w:pPr>
              <w:rPr>
                <w:b/>
                <w:bCs/>
                <w:sz w:val="18"/>
                <w:szCs w:val="18"/>
              </w:rPr>
            </w:pPr>
            <w:r w:rsidRPr="00683201">
              <w:rPr>
                <w:b/>
                <w:bCs/>
                <w:sz w:val="18"/>
                <w:szCs w:val="18"/>
              </w:rPr>
              <w:t>Interventions suggested by:</w:t>
            </w:r>
          </w:p>
        </w:tc>
        <w:tc>
          <w:tcPr>
            <w:tcW w:w="3118" w:type="dxa"/>
            <w:shd w:val="clear" w:color="auto" w:fill="E8E8E8" w:themeFill="background2"/>
            <w:hideMark/>
          </w:tcPr>
          <w:p w14:paraId="560851DB" w14:textId="77777777" w:rsidR="00B078CC" w:rsidRPr="00683201" w:rsidRDefault="00B078CC" w:rsidP="00DE44B4">
            <w:pPr>
              <w:rPr>
                <w:b/>
                <w:bCs/>
                <w:sz w:val="18"/>
                <w:szCs w:val="18"/>
              </w:rPr>
            </w:pPr>
            <w:r w:rsidRPr="00683201">
              <w:rPr>
                <w:b/>
                <w:bCs/>
                <w:sz w:val="18"/>
                <w:szCs w:val="18"/>
              </w:rPr>
              <w:t>Interventions Implemented (Y/N) / Implemented by who</w:t>
            </w:r>
          </w:p>
        </w:tc>
      </w:tr>
      <w:tr w:rsidR="00B078CC" w:rsidRPr="00683201" w14:paraId="313DD3C9" w14:textId="77777777" w:rsidTr="00DE44B4">
        <w:trPr>
          <w:cantSplit/>
          <w:trHeight w:val="1247"/>
        </w:trPr>
        <w:tc>
          <w:tcPr>
            <w:tcW w:w="1418" w:type="dxa"/>
            <w:hideMark/>
          </w:tcPr>
          <w:p w14:paraId="621C0AB5" w14:textId="77777777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Wazaify, 2005</w:t>
            </w:r>
          </w:p>
          <w:p w14:paraId="68D3A82E" w14:textId="77777777" w:rsidR="00B078CC" w:rsidRPr="00683201" w:rsidRDefault="00B078CC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1AE7D22B" w14:textId="77777777" w:rsidR="00B078CC" w:rsidRPr="00683201" w:rsidRDefault="00B078CC" w:rsidP="00DE44B4">
            <w:pPr>
              <w:spacing w:after="160"/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Educational interventions and greater involvement of pharmacist with HPs at discharge; Further research to identify effective overdose-reduction strategies tailored to vulnerable subgroups; Multidisciplinary self-harm reduction team in both, community and hospital settings</w:t>
            </w:r>
          </w:p>
        </w:tc>
        <w:tc>
          <w:tcPr>
            <w:tcW w:w="1418" w:type="dxa"/>
            <w:hideMark/>
          </w:tcPr>
          <w:p w14:paraId="4A766CD9" w14:textId="77777777" w:rsidR="00B078CC" w:rsidRPr="00683201" w:rsidRDefault="00B078CC" w:rsidP="00DE44B4">
            <w:pPr>
              <w:spacing w:after="160"/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Authors</w:t>
            </w:r>
          </w:p>
        </w:tc>
        <w:tc>
          <w:tcPr>
            <w:tcW w:w="3118" w:type="dxa"/>
            <w:hideMark/>
          </w:tcPr>
          <w:p w14:paraId="3C3AA7A2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Not reported</w:t>
            </w:r>
          </w:p>
        </w:tc>
      </w:tr>
      <w:tr w:rsidR="00B078CC" w:rsidRPr="00683201" w14:paraId="7C11CD35" w14:textId="77777777" w:rsidTr="00DE44B4">
        <w:trPr>
          <w:trHeight w:val="794"/>
        </w:trPr>
        <w:tc>
          <w:tcPr>
            <w:tcW w:w="1418" w:type="dxa"/>
            <w:hideMark/>
          </w:tcPr>
          <w:p w14:paraId="2BF28902" w14:textId="5E337CFD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Neilson</w:t>
            </w:r>
            <w:r w:rsidR="008F757C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683201">
              <w:rPr>
                <w:b/>
                <w:bCs/>
                <w:color w:val="000000"/>
                <w:sz w:val="18"/>
                <w:szCs w:val="18"/>
              </w:rPr>
              <w:t xml:space="preserve"> 2012</w:t>
            </w:r>
          </w:p>
          <w:p w14:paraId="127ED40B" w14:textId="77777777" w:rsidR="00B078CC" w:rsidRPr="00683201" w:rsidRDefault="00B078CC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269953F5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Parental education/vigilance to prevent children accessing substances; Legislative measures to reduce paracetamol use in self-harm</w:t>
            </w:r>
          </w:p>
        </w:tc>
        <w:tc>
          <w:tcPr>
            <w:tcW w:w="1418" w:type="dxa"/>
            <w:hideMark/>
          </w:tcPr>
          <w:p w14:paraId="6336AD0D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Authors</w:t>
            </w:r>
          </w:p>
        </w:tc>
        <w:tc>
          <w:tcPr>
            <w:tcW w:w="3118" w:type="dxa"/>
            <w:hideMark/>
          </w:tcPr>
          <w:p w14:paraId="4399BDC3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 xml:space="preserve">No </w:t>
            </w:r>
          </w:p>
        </w:tc>
      </w:tr>
      <w:tr w:rsidR="00B078CC" w:rsidRPr="00683201" w14:paraId="5C6C4040" w14:textId="77777777" w:rsidTr="00DE44B4">
        <w:trPr>
          <w:trHeight w:val="1757"/>
        </w:trPr>
        <w:tc>
          <w:tcPr>
            <w:tcW w:w="1418" w:type="dxa"/>
            <w:hideMark/>
          </w:tcPr>
          <w:p w14:paraId="51FA759F" w14:textId="0B23481A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Hewett</w:t>
            </w:r>
            <w:r w:rsidR="00FC342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683201">
              <w:rPr>
                <w:b/>
                <w:bCs/>
                <w:color w:val="000000"/>
                <w:sz w:val="18"/>
                <w:szCs w:val="18"/>
              </w:rPr>
              <w:t xml:space="preserve"> 2013</w:t>
            </w:r>
          </w:p>
          <w:p w14:paraId="107F28E9" w14:textId="77777777" w:rsidR="00B078CC" w:rsidRPr="00683201" w:rsidRDefault="00B078CC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79512571" w14:textId="77777777" w:rsidR="00B078CC" w:rsidRPr="00683201" w:rsidRDefault="00B078CC" w:rsidP="00DE44B4">
            <w:pPr>
              <w:rPr>
                <w:color w:val="000000"/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Stronger international harmonisation of drug names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683201">
              <w:rPr>
                <w:color w:val="000000"/>
                <w:sz w:val="18"/>
                <w:szCs w:val="18"/>
              </w:rPr>
              <w:t>Regulatory action addressing risks from online medication sales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683201">
              <w:rPr>
                <w:color w:val="000000"/>
                <w:sz w:val="18"/>
                <w:szCs w:val="18"/>
              </w:rPr>
              <w:t>Public health campaigns to raise awareness that acetaminophen = paracetamol to minimise the risks of inadvertent drug toxicity from paracetamol-containing preparations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683201">
              <w:rPr>
                <w:color w:val="000000"/>
                <w:sz w:val="18"/>
                <w:szCs w:val="18"/>
              </w:rPr>
              <w:t>Prescribers should consider non-prescription medications non-prescription medications with different international names/presentations</w:t>
            </w:r>
          </w:p>
        </w:tc>
        <w:tc>
          <w:tcPr>
            <w:tcW w:w="1418" w:type="dxa"/>
            <w:hideMark/>
          </w:tcPr>
          <w:p w14:paraId="39166619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Authors</w:t>
            </w:r>
          </w:p>
        </w:tc>
        <w:tc>
          <w:tcPr>
            <w:tcW w:w="3118" w:type="dxa"/>
            <w:hideMark/>
          </w:tcPr>
          <w:p w14:paraId="2B57A546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 xml:space="preserve">Partial-World Health Organisation International Non-proprietary Name </w:t>
            </w:r>
            <w:r w:rsidRPr="00683201">
              <w:rPr>
                <w:color w:val="000000"/>
                <w:sz w:val="18"/>
                <w:szCs w:val="18"/>
              </w:rPr>
              <w:br/>
              <w:t>(INN) program.</w:t>
            </w:r>
          </w:p>
        </w:tc>
      </w:tr>
      <w:tr w:rsidR="00B078CC" w:rsidRPr="00683201" w14:paraId="37476374" w14:textId="77777777" w:rsidTr="00DE44B4">
        <w:trPr>
          <w:trHeight w:val="397"/>
        </w:trPr>
        <w:tc>
          <w:tcPr>
            <w:tcW w:w="1418" w:type="dxa"/>
            <w:hideMark/>
          </w:tcPr>
          <w:p w14:paraId="3FE9BE94" w14:textId="6391B814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Gunnell</w:t>
            </w:r>
            <w:r w:rsidR="00FC342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683201">
              <w:rPr>
                <w:b/>
                <w:bCs/>
                <w:color w:val="000000"/>
                <w:sz w:val="18"/>
                <w:szCs w:val="18"/>
              </w:rPr>
              <w:t xml:space="preserve"> 2013</w:t>
            </w:r>
          </w:p>
          <w:p w14:paraId="0540F9C1" w14:textId="77777777" w:rsidR="00B078CC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STUDY 1</w:t>
            </w:r>
          </w:p>
          <w:p w14:paraId="28BA0741" w14:textId="77777777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03B50D8D" w14:textId="77777777" w:rsidR="00B078CC" w:rsidRPr="00683201" w:rsidRDefault="00B078CC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53D591E5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None suggested</w:t>
            </w:r>
          </w:p>
        </w:tc>
        <w:tc>
          <w:tcPr>
            <w:tcW w:w="1418" w:type="dxa"/>
            <w:hideMark/>
          </w:tcPr>
          <w:p w14:paraId="434AD675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  <w:hideMark/>
          </w:tcPr>
          <w:p w14:paraId="29121F4C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NA</w:t>
            </w:r>
          </w:p>
        </w:tc>
      </w:tr>
      <w:tr w:rsidR="00B078CC" w:rsidRPr="00683201" w14:paraId="798C87B3" w14:textId="77777777" w:rsidTr="00DE44B4">
        <w:trPr>
          <w:trHeight w:val="1304"/>
        </w:trPr>
        <w:tc>
          <w:tcPr>
            <w:tcW w:w="1418" w:type="dxa"/>
            <w:hideMark/>
          </w:tcPr>
          <w:p w14:paraId="48BF1F80" w14:textId="684FBEAA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Hawton</w:t>
            </w:r>
            <w:r w:rsidR="00FC342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683201">
              <w:rPr>
                <w:b/>
                <w:bCs/>
                <w:color w:val="000000"/>
                <w:sz w:val="18"/>
                <w:szCs w:val="18"/>
              </w:rPr>
              <w:t xml:space="preserve"> 2013</w:t>
            </w:r>
          </w:p>
          <w:p w14:paraId="67283A7A" w14:textId="77777777" w:rsidR="00B078CC" w:rsidRPr="00683201" w:rsidRDefault="00B078CC" w:rsidP="00DE44B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D585761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Stronger enforcement of the existing legislation; Possible further reduction in pack size; Consider reducing paracetamol tablet strength (from 500 to 325mg as in US Food and Drug Administration guidance)</w:t>
            </w:r>
          </w:p>
        </w:tc>
        <w:tc>
          <w:tcPr>
            <w:tcW w:w="1418" w:type="dxa"/>
            <w:hideMark/>
          </w:tcPr>
          <w:p w14:paraId="111CDDC9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Authors</w:t>
            </w:r>
          </w:p>
        </w:tc>
        <w:tc>
          <w:tcPr>
            <w:tcW w:w="3118" w:type="dxa"/>
            <w:hideMark/>
          </w:tcPr>
          <w:p w14:paraId="1B752EAE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Not reported</w:t>
            </w:r>
          </w:p>
        </w:tc>
      </w:tr>
      <w:tr w:rsidR="00B078CC" w:rsidRPr="00683201" w14:paraId="6AD56381" w14:textId="77777777" w:rsidTr="00DE44B4">
        <w:trPr>
          <w:trHeight w:val="340"/>
        </w:trPr>
        <w:tc>
          <w:tcPr>
            <w:tcW w:w="1418" w:type="dxa"/>
          </w:tcPr>
          <w:p w14:paraId="1F3ECA9A" w14:textId="56527312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Adams</w:t>
            </w:r>
            <w:r w:rsidR="00FC342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683201">
              <w:rPr>
                <w:b/>
                <w:bCs/>
                <w:color w:val="000000"/>
                <w:sz w:val="18"/>
                <w:szCs w:val="18"/>
              </w:rPr>
              <w:t xml:space="preserve"> 2014</w:t>
            </w:r>
          </w:p>
          <w:p w14:paraId="46EF3110" w14:textId="77777777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13A18B7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</w:tcPr>
          <w:p w14:paraId="0CD2FF86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</w:tcPr>
          <w:p w14:paraId="15A15F65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NA</w:t>
            </w:r>
          </w:p>
        </w:tc>
      </w:tr>
      <w:tr w:rsidR="00B078CC" w:rsidRPr="00683201" w14:paraId="63A242C2" w14:textId="77777777" w:rsidTr="00DE44B4">
        <w:trPr>
          <w:trHeight w:val="1247"/>
        </w:trPr>
        <w:tc>
          <w:tcPr>
            <w:tcW w:w="1418" w:type="dxa"/>
          </w:tcPr>
          <w:p w14:paraId="17574673" w14:textId="34156849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Mills</w:t>
            </w:r>
            <w:r w:rsidR="00FC342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683201">
              <w:rPr>
                <w:b/>
                <w:bCs/>
                <w:color w:val="000000"/>
                <w:sz w:val="18"/>
                <w:szCs w:val="18"/>
              </w:rPr>
              <w:t xml:space="preserve"> 2014</w:t>
            </w:r>
          </w:p>
          <w:p w14:paraId="0A36638D" w14:textId="77777777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395CD6B" w14:textId="77777777" w:rsidR="00B078CC" w:rsidRPr="00683201" w:rsidRDefault="00B078CC" w:rsidP="00DE44B4">
            <w:pPr>
              <w:rPr>
                <w:color w:val="000000"/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Psychiatric history should alert clinicians to high-risk pregnancies; multidisciplinary assessment and management; early detection of patients with past overdose or mental health challenges throughout pregnancy</w:t>
            </w:r>
          </w:p>
        </w:tc>
        <w:tc>
          <w:tcPr>
            <w:tcW w:w="1418" w:type="dxa"/>
          </w:tcPr>
          <w:p w14:paraId="04F680BB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Authors</w:t>
            </w:r>
          </w:p>
        </w:tc>
        <w:tc>
          <w:tcPr>
            <w:tcW w:w="3118" w:type="dxa"/>
          </w:tcPr>
          <w:p w14:paraId="7FB526E6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Not reported</w:t>
            </w:r>
          </w:p>
        </w:tc>
      </w:tr>
      <w:tr w:rsidR="00B078CC" w:rsidRPr="00683201" w14:paraId="10921ED0" w14:textId="77777777" w:rsidTr="00DE44B4">
        <w:trPr>
          <w:trHeight w:val="850"/>
        </w:trPr>
        <w:tc>
          <w:tcPr>
            <w:tcW w:w="1418" w:type="dxa"/>
          </w:tcPr>
          <w:p w14:paraId="62E7FA65" w14:textId="344E7DD4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Gulmez</w:t>
            </w:r>
            <w:r w:rsidR="00FC342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683201">
              <w:rPr>
                <w:b/>
                <w:bCs/>
                <w:color w:val="000000"/>
                <w:sz w:val="18"/>
                <w:szCs w:val="18"/>
              </w:rPr>
              <w:t xml:space="preserve"> 2015</w:t>
            </w:r>
          </w:p>
          <w:p w14:paraId="787DE06F" w14:textId="77777777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0180A2C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Further research to understand</w:t>
            </w:r>
            <w:r w:rsidRPr="00683201">
              <w:rPr>
                <w:color w:val="000000"/>
                <w:sz w:val="18"/>
                <w:szCs w:val="18"/>
              </w:rPr>
              <w:br/>
              <w:t>why paracetamol -related ALFT and suicide are more common in UK and Ireland</w:t>
            </w:r>
          </w:p>
        </w:tc>
        <w:tc>
          <w:tcPr>
            <w:tcW w:w="1418" w:type="dxa"/>
          </w:tcPr>
          <w:p w14:paraId="054AF99A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Authors</w:t>
            </w:r>
          </w:p>
        </w:tc>
        <w:tc>
          <w:tcPr>
            <w:tcW w:w="3118" w:type="dxa"/>
          </w:tcPr>
          <w:p w14:paraId="28564497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Not reported</w:t>
            </w:r>
          </w:p>
        </w:tc>
      </w:tr>
      <w:tr w:rsidR="00B078CC" w:rsidRPr="00683201" w14:paraId="3D57F6C1" w14:textId="77777777" w:rsidTr="00DE44B4">
        <w:trPr>
          <w:trHeight w:val="850"/>
        </w:trPr>
        <w:tc>
          <w:tcPr>
            <w:tcW w:w="1418" w:type="dxa"/>
          </w:tcPr>
          <w:p w14:paraId="50B4CFC1" w14:textId="423E0887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Freitas</w:t>
            </w:r>
            <w:r w:rsidR="00FC342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683201">
              <w:rPr>
                <w:b/>
                <w:bCs/>
                <w:color w:val="000000"/>
                <w:sz w:val="18"/>
                <w:szCs w:val="18"/>
              </w:rPr>
              <w:t xml:space="preserve"> 2023</w:t>
            </w:r>
          </w:p>
          <w:p w14:paraId="4392EFD0" w14:textId="77777777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706CA16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 xml:space="preserve">Development and testing of non-invasive device to detect paracetamol exposure (under evaluation, not a prevention intervention per se) </w:t>
            </w:r>
          </w:p>
        </w:tc>
        <w:tc>
          <w:tcPr>
            <w:tcW w:w="1418" w:type="dxa"/>
          </w:tcPr>
          <w:p w14:paraId="5A83B1CA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Authors</w:t>
            </w:r>
          </w:p>
        </w:tc>
        <w:tc>
          <w:tcPr>
            <w:tcW w:w="3118" w:type="dxa"/>
          </w:tcPr>
          <w:p w14:paraId="09487FB5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In progress</w:t>
            </w:r>
          </w:p>
        </w:tc>
      </w:tr>
      <w:tr w:rsidR="00B078CC" w:rsidRPr="00683201" w14:paraId="6FB24516" w14:textId="77777777" w:rsidTr="00DE44B4">
        <w:trPr>
          <w:trHeight w:val="1077"/>
        </w:trPr>
        <w:tc>
          <w:tcPr>
            <w:tcW w:w="1418" w:type="dxa"/>
          </w:tcPr>
          <w:p w14:paraId="72A22633" w14:textId="60DA0D11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83201">
              <w:rPr>
                <w:b/>
                <w:bCs/>
                <w:color w:val="000000"/>
                <w:sz w:val="18"/>
                <w:szCs w:val="18"/>
              </w:rPr>
              <w:t>Tyrrell</w:t>
            </w:r>
            <w:r w:rsidR="00FC342E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683201">
              <w:rPr>
                <w:b/>
                <w:bCs/>
                <w:color w:val="000000"/>
                <w:sz w:val="18"/>
                <w:szCs w:val="18"/>
              </w:rPr>
              <w:t xml:space="preserve"> 2024</w:t>
            </w:r>
          </w:p>
          <w:p w14:paraId="51A0556F" w14:textId="77777777" w:rsidR="00B078CC" w:rsidRPr="00683201" w:rsidRDefault="00B078CC" w:rsidP="00DE44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EFA542D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>Promote safe storage of medicines; target home-safety assessments to households in areas of higher deprivation; universal promotion of safe storage by prescribers, pharmacies and other outlets</w:t>
            </w:r>
          </w:p>
        </w:tc>
        <w:tc>
          <w:tcPr>
            <w:tcW w:w="1418" w:type="dxa"/>
          </w:tcPr>
          <w:p w14:paraId="347BF573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sz w:val="18"/>
                <w:szCs w:val="18"/>
              </w:rPr>
              <w:t>Authors</w:t>
            </w:r>
          </w:p>
        </w:tc>
        <w:tc>
          <w:tcPr>
            <w:tcW w:w="3118" w:type="dxa"/>
          </w:tcPr>
          <w:p w14:paraId="128411F9" w14:textId="77777777" w:rsidR="00B078CC" w:rsidRPr="00683201" w:rsidRDefault="00B078CC" w:rsidP="00DE44B4">
            <w:pPr>
              <w:rPr>
                <w:sz w:val="18"/>
                <w:szCs w:val="18"/>
              </w:rPr>
            </w:pPr>
            <w:r w:rsidRPr="00683201">
              <w:rPr>
                <w:color w:val="000000"/>
                <w:sz w:val="18"/>
                <w:szCs w:val="18"/>
              </w:rPr>
              <w:t xml:space="preserve">No </w:t>
            </w:r>
          </w:p>
        </w:tc>
      </w:tr>
    </w:tbl>
    <w:p w14:paraId="0F395069" w14:textId="77777777" w:rsidR="00B078CC" w:rsidRDefault="00B078CC"/>
    <w:sectPr w:rsidR="00B078CC" w:rsidSect="001F0B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654BF" w14:textId="77777777" w:rsidR="001F0B90" w:rsidRDefault="001F0B90" w:rsidP="001F0B90">
      <w:pPr>
        <w:spacing w:after="0" w:line="240" w:lineRule="auto"/>
      </w:pPr>
      <w:r>
        <w:separator/>
      </w:r>
    </w:p>
  </w:endnote>
  <w:endnote w:type="continuationSeparator" w:id="0">
    <w:p w14:paraId="3F0EFCDE" w14:textId="77777777" w:rsidR="001F0B90" w:rsidRDefault="001F0B90" w:rsidP="001F0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43374" w14:textId="77777777" w:rsidR="001F0B90" w:rsidRDefault="001F0B90" w:rsidP="001F0B90">
      <w:pPr>
        <w:spacing w:after="0" w:line="240" w:lineRule="auto"/>
      </w:pPr>
      <w:r>
        <w:separator/>
      </w:r>
    </w:p>
  </w:footnote>
  <w:footnote w:type="continuationSeparator" w:id="0">
    <w:p w14:paraId="0311F2A1" w14:textId="77777777" w:rsidR="001F0B90" w:rsidRDefault="001F0B90" w:rsidP="001F0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CC"/>
    <w:rsid w:val="001F0B90"/>
    <w:rsid w:val="00365992"/>
    <w:rsid w:val="008F757C"/>
    <w:rsid w:val="00AC2630"/>
    <w:rsid w:val="00B078CC"/>
    <w:rsid w:val="00F9168E"/>
    <w:rsid w:val="00FC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B0D87"/>
  <w15:chartTrackingRefBased/>
  <w15:docId w15:val="{7156FCF2-E6B1-4ED8-9B57-1F5AF4BF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CC"/>
  </w:style>
  <w:style w:type="paragraph" w:styleId="Heading1">
    <w:name w:val="heading 1"/>
    <w:basedOn w:val="Normal"/>
    <w:next w:val="Normal"/>
    <w:link w:val="Heading1Char"/>
    <w:uiPriority w:val="9"/>
    <w:qFormat/>
    <w:rsid w:val="00B07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8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8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8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8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8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8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8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8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8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8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8CC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078C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B07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0B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B90"/>
  </w:style>
  <w:style w:type="paragraph" w:styleId="Footer">
    <w:name w:val="footer"/>
    <w:basedOn w:val="Normal"/>
    <w:link w:val="FooterChar"/>
    <w:uiPriority w:val="99"/>
    <w:unhideWhenUsed/>
    <w:rsid w:val="001F0B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BF3F4BE92334DA6DA9DE3F3B124CD" ma:contentTypeVersion="10" ma:contentTypeDescription="Create a new document." ma:contentTypeScope="" ma:versionID="1f2e50f86eb605068686c1adebc90325">
  <xsd:schema xmlns:xsd="http://www.w3.org/2001/XMLSchema" xmlns:xs="http://www.w3.org/2001/XMLSchema" xmlns:p="http://schemas.microsoft.com/office/2006/metadata/properties" xmlns:ns2="e4f14e5a-899d-4990-a452-3796a52b7aac" targetNamespace="http://schemas.microsoft.com/office/2006/metadata/properties" ma:root="true" ma:fieldsID="b4bacf0311fca81160fa35d49a67cab6" ns2:_="">
    <xsd:import namespace="e4f14e5a-899d-4990-a452-3796a52b7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14e5a-899d-4990-a452-3796a52b7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f14e5a-899d-4990-a452-3796a52b7a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7B6C8-00CA-4E4E-B23C-434920FEC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14e5a-899d-4990-a452-3796a52b7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43939-3154-4046-8B8F-4C052B658877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e4f14e5a-899d-4990-a452-3796a52b7aa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241C208-5ACB-4EEE-A52F-B0C807F14E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De Paoli (Staff)</dc:creator>
  <cp:keywords/>
  <dc:description/>
  <cp:lastModifiedBy>Giorgia De Paoli (Staff)</cp:lastModifiedBy>
  <cp:revision>6</cp:revision>
  <dcterms:created xsi:type="dcterms:W3CDTF">2026-06-08T13:30:00Z</dcterms:created>
  <dcterms:modified xsi:type="dcterms:W3CDTF">2026-06-08T15:40:00Z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0x0101000FBBF3F4BE92334DA6DA9DE3F3B124CD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2026-06-08T13:31:14Z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2b10aa2e-920f-4b5b-b267-d57436765aeb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</Properties>
</file>