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BF3C9" w14:textId="77777777" w:rsidR="00CC1AF3" w:rsidRPr="00F24D47" w:rsidRDefault="00CC1AF3" w:rsidP="00CC1AF3">
      <w:pPr>
        <w:pStyle w:val="Caption"/>
        <w:spacing w:after="0"/>
        <w:rPr>
          <w:b/>
          <w:bCs/>
          <w:i w:val="0"/>
          <w:iCs w:val="0"/>
          <w:color w:val="auto"/>
          <w:sz w:val="24"/>
          <w:szCs w:val="24"/>
        </w:rPr>
      </w:pPr>
      <w:r w:rsidRPr="00F24D47">
        <w:rPr>
          <w:b/>
          <w:bCs/>
          <w:i w:val="0"/>
          <w:iCs w:val="0"/>
          <w:color w:val="auto"/>
          <w:sz w:val="24"/>
          <w:szCs w:val="24"/>
        </w:rPr>
        <w:t>Table 5: Characteristics of studies reporting accidental and intentional combined paracetamol overdoses only and factors linked to PODs</w:t>
      </w: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974"/>
        <w:gridCol w:w="1440"/>
        <w:gridCol w:w="1276"/>
        <w:gridCol w:w="1573"/>
        <w:gridCol w:w="1418"/>
        <w:gridCol w:w="1327"/>
        <w:gridCol w:w="1352"/>
        <w:gridCol w:w="1418"/>
        <w:gridCol w:w="1559"/>
        <w:gridCol w:w="1559"/>
      </w:tblGrid>
      <w:tr w:rsidR="00CC1AF3" w:rsidRPr="00ED60F6" w14:paraId="3D56AABB" w14:textId="77777777" w:rsidTr="00DE44B4">
        <w:trPr>
          <w:trHeight w:val="283"/>
          <w:jc w:val="center"/>
        </w:trPr>
        <w:tc>
          <w:tcPr>
            <w:tcW w:w="15446" w:type="dxa"/>
            <w:gridSpan w:val="11"/>
            <w:shd w:val="clear" w:color="000000" w:fill="E8E8E8"/>
          </w:tcPr>
          <w:p w14:paraId="08945392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Intentional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and Accidental </w:t>
            </w:r>
            <w:r w:rsidRPr="00ED60F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Paracetamol Overdoses-Factors linked to POD</w:t>
            </w:r>
          </w:p>
        </w:tc>
      </w:tr>
      <w:tr w:rsidR="00CC1AF3" w:rsidRPr="00ED60F6" w14:paraId="6C1A9EEB" w14:textId="77777777" w:rsidTr="00DE44B4">
        <w:trPr>
          <w:trHeight w:val="1132"/>
          <w:jc w:val="center"/>
        </w:trPr>
        <w:tc>
          <w:tcPr>
            <w:tcW w:w="1550" w:type="dxa"/>
            <w:shd w:val="clear" w:color="000000" w:fill="E8E8E8"/>
            <w:hideMark/>
          </w:tcPr>
          <w:p w14:paraId="40E0A598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Authors, year</w:t>
            </w:r>
            <w:r w:rsidRPr="00ED60F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>Title</w:t>
            </w:r>
          </w:p>
        </w:tc>
        <w:tc>
          <w:tcPr>
            <w:tcW w:w="974" w:type="dxa"/>
            <w:shd w:val="clear" w:color="000000" w:fill="E8E8E8"/>
            <w:hideMark/>
          </w:tcPr>
          <w:p w14:paraId="053D9403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UK study location</w:t>
            </w:r>
          </w:p>
        </w:tc>
        <w:tc>
          <w:tcPr>
            <w:tcW w:w="1440" w:type="dxa"/>
            <w:shd w:val="clear" w:color="000000" w:fill="E8E8E8"/>
            <w:hideMark/>
          </w:tcPr>
          <w:p w14:paraId="2663D7C3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Type of</w:t>
            </w:r>
          </w:p>
          <w:p w14:paraId="5F590ECF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Study</w:t>
            </w:r>
          </w:p>
        </w:tc>
        <w:tc>
          <w:tcPr>
            <w:tcW w:w="1276" w:type="dxa"/>
            <w:shd w:val="clear" w:color="000000" w:fill="E8E8E8"/>
            <w:hideMark/>
          </w:tcPr>
          <w:p w14:paraId="7699F329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Age groups represented in the study sample</w:t>
            </w:r>
          </w:p>
        </w:tc>
        <w:tc>
          <w:tcPr>
            <w:tcW w:w="1573" w:type="dxa"/>
            <w:shd w:val="clear" w:color="000000" w:fill="E8E8E8"/>
            <w:hideMark/>
          </w:tcPr>
          <w:p w14:paraId="0B12758B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Study period and total sample size</w:t>
            </w:r>
          </w:p>
        </w:tc>
        <w:tc>
          <w:tcPr>
            <w:tcW w:w="1418" w:type="dxa"/>
            <w:shd w:val="clear" w:color="000000" w:fill="E8E8E8"/>
            <w:hideMark/>
          </w:tcPr>
          <w:p w14:paraId="5E33FC88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Number of POD cases</w:t>
            </w:r>
          </w:p>
        </w:tc>
        <w:tc>
          <w:tcPr>
            <w:tcW w:w="1327" w:type="dxa"/>
            <w:shd w:val="clear" w:color="000000" w:fill="E8E8E8"/>
            <w:hideMark/>
          </w:tcPr>
          <w:p w14:paraId="0B6BDF9A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% females experiencing POD</w:t>
            </w:r>
          </w:p>
        </w:tc>
        <w:tc>
          <w:tcPr>
            <w:tcW w:w="1352" w:type="dxa"/>
            <w:shd w:val="clear" w:color="000000" w:fill="E8E8E8"/>
            <w:hideMark/>
          </w:tcPr>
          <w:p w14:paraId="446DC387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SES of POD patients</w:t>
            </w:r>
          </w:p>
        </w:tc>
        <w:tc>
          <w:tcPr>
            <w:tcW w:w="1418" w:type="dxa"/>
            <w:shd w:val="clear" w:color="000000" w:fill="E8E8E8"/>
            <w:hideMark/>
          </w:tcPr>
          <w:p w14:paraId="41F2EECE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Source of paracetamol</w:t>
            </w:r>
          </w:p>
        </w:tc>
        <w:tc>
          <w:tcPr>
            <w:tcW w:w="1559" w:type="dxa"/>
            <w:shd w:val="clear" w:color="000000" w:fill="E8E8E8"/>
            <w:hideMark/>
          </w:tcPr>
          <w:p w14:paraId="1FC029BB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Factors linked to POD</w:t>
            </w:r>
          </w:p>
        </w:tc>
        <w:tc>
          <w:tcPr>
            <w:tcW w:w="1559" w:type="dxa"/>
            <w:shd w:val="clear" w:color="000000" w:fill="E8E8E8"/>
            <w:hideMark/>
          </w:tcPr>
          <w:p w14:paraId="2A0DBD0F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Other exposures</w:t>
            </w:r>
          </w:p>
        </w:tc>
      </w:tr>
      <w:tr w:rsidR="00CC1AF3" w:rsidRPr="00ED60F6" w14:paraId="6C4E8E86" w14:textId="77777777" w:rsidTr="00DE44B4">
        <w:trPr>
          <w:trHeight w:val="2098"/>
          <w:jc w:val="center"/>
        </w:trPr>
        <w:tc>
          <w:tcPr>
            <w:tcW w:w="1550" w:type="dxa"/>
          </w:tcPr>
          <w:p w14:paraId="544F9F98" w14:textId="77777777" w:rsidR="00CC1AF3" w:rsidRPr="00ED60F6" w:rsidRDefault="00CC1AF3" w:rsidP="00DE44B4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D60F6">
              <w:rPr>
                <w:b/>
                <w:bCs/>
                <w:color w:val="000000"/>
                <w:sz w:val="18"/>
                <w:szCs w:val="18"/>
              </w:rPr>
              <w:t>Wazaify, 2005</w:t>
            </w:r>
          </w:p>
          <w:p w14:paraId="0DAA7EBC" w14:textId="7DF4174D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Prevalence of over-the-counter drug-related overdoses at Accident and Emergency departments in Northern Ireland - A retrospective evaluation</w:t>
            </w:r>
          </w:p>
        </w:tc>
        <w:tc>
          <w:tcPr>
            <w:tcW w:w="974" w:type="dxa"/>
          </w:tcPr>
          <w:p w14:paraId="60CCB714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Northern Ireland-Belfast</w:t>
            </w:r>
          </w:p>
        </w:tc>
        <w:tc>
          <w:tcPr>
            <w:tcW w:w="1440" w:type="dxa"/>
          </w:tcPr>
          <w:p w14:paraId="289870BB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Retrospective evaluation</w:t>
            </w:r>
            <w:r w:rsidRPr="00ED60F6">
              <w:rPr>
                <w:color w:val="000000"/>
                <w:sz w:val="18"/>
                <w:szCs w:val="18"/>
              </w:rPr>
              <w:br/>
            </w:r>
            <w:r w:rsidRPr="00ED60F6">
              <w:rPr>
                <w:color w:val="000000"/>
                <w:sz w:val="18"/>
                <w:szCs w:val="18"/>
              </w:rPr>
              <w:br/>
            </w:r>
            <w:r w:rsidRPr="00ED60F6">
              <w:rPr>
                <w:color w:val="000000"/>
                <w:sz w:val="18"/>
                <w:szCs w:val="18"/>
              </w:rPr>
              <w:br/>
            </w:r>
          </w:p>
        </w:tc>
        <w:tc>
          <w:tcPr>
            <w:tcW w:w="1276" w:type="dxa"/>
          </w:tcPr>
          <w:p w14:paraId="7B297013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All ages</w:t>
            </w:r>
          </w:p>
        </w:tc>
        <w:tc>
          <w:tcPr>
            <w:tcW w:w="1573" w:type="dxa"/>
          </w:tcPr>
          <w:p w14:paraId="7FBD874E" w14:textId="77777777" w:rsidR="00CC1AF3" w:rsidRPr="00ED60F6" w:rsidRDefault="00CC1AF3" w:rsidP="00DE44B4">
            <w:pPr>
              <w:spacing w:after="0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ED60F6">
              <w:rPr>
                <w:color w:val="000000"/>
                <w:sz w:val="18"/>
                <w:szCs w:val="18"/>
              </w:rPr>
              <w:t>Dec 2002–Mar 2003, 616 overdose cases.</w:t>
            </w:r>
          </w:p>
        </w:tc>
        <w:tc>
          <w:tcPr>
            <w:tcW w:w="1418" w:type="dxa"/>
          </w:tcPr>
          <w:p w14:paraId="24FCA5A9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36% (145) involved paracetamol</w:t>
            </w:r>
          </w:p>
        </w:tc>
        <w:tc>
          <w:tcPr>
            <w:tcW w:w="1327" w:type="dxa"/>
          </w:tcPr>
          <w:p w14:paraId="0B6C14A5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 xml:space="preserve">Not reported </w:t>
            </w:r>
          </w:p>
        </w:tc>
        <w:tc>
          <w:tcPr>
            <w:tcW w:w="1352" w:type="dxa"/>
          </w:tcPr>
          <w:p w14:paraId="4C60C606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People who over-</w:t>
            </w:r>
            <w:r w:rsidRPr="00ED60F6">
              <w:rPr>
                <w:color w:val="000000"/>
                <w:sz w:val="18"/>
                <w:szCs w:val="18"/>
              </w:rPr>
              <w:br/>
              <w:t>dosed on OTC drugs were most likely to be single/unmarried females, between 31-50 years of age, unemployed/housewives.</w:t>
            </w:r>
          </w:p>
        </w:tc>
        <w:tc>
          <w:tcPr>
            <w:tcW w:w="1418" w:type="dxa"/>
          </w:tcPr>
          <w:p w14:paraId="3799A3FB" w14:textId="73CA87D6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OTC/POM</w:t>
            </w:r>
            <w:r w:rsidR="00B20EAB" w:rsidRPr="00B20EAB">
              <w:rPr>
                <w:color w:val="000000"/>
                <w:sz w:val="18"/>
                <w:szCs w:val="18"/>
                <w:vertAlign w:val="superscript"/>
              </w:rPr>
              <w:t>s</w:t>
            </w:r>
          </w:p>
        </w:tc>
        <w:tc>
          <w:tcPr>
            <w:tcW w:w="1559" w:type="dxa"/>
          </w:tcPr>
          <w:p w14:paraId="1C3498D2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Intentional: availability;</w:t>
            </w:r>
            <w:r w:rsidRPr="00ED60F6">
              <w:rPr>
                <w:color w:val="000000"/>
                <w:sz w:val="18"/>
                <w:szCs w:val="18"/>
              </w:rPr>
              <w:br/>
              <w:t>Accidental: 11% accidental</w:t>
            </w:r>
          </w:p>
        </w:tc>
        <w:tc>
          <w:tcPr>
            <w:tcW w:w="1559" w:type="dxa"/>
          </w:tcPr>
          <w:p w14:paraId="28D77274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Alcohol</w:t>
            </w:r>
          </w:p>
        </w:tc>
      </w:tr>
      <w:tr w:rsidR="00CC1AF3" w:rsidRPr="00ED60F6" w14:paraId="580B5AFA" w14:textId="77777777" w:rsidTr="00DE44B4">
        <w:trPr>
          <w:trHeight w:val="1701"/>
          <w:jc w:val="center"/>
        </w:trPr>
        <w:tc>
          <w:tcPr>
            <w:tcW w:w="1550" w:type="dxa"/>
          </w:tcPr>
          <w:p w14:paraId="1CBEA856" w14:textId="77777777" w:rsidR="00CC1AF3" w:rsidRPr="002469DB" w:rsidRDefault="00CC1AF3" w:rsidP="00DE44B4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2469DB">
              <w:rPr>
                <w:b/>
                <w:bCs/>
                <w:color w:val="000000"/>
                <w:sz w:val="18"/>
                <w:szCs w:val="18"/>
              </w:rPr>
              <w:t>Neilson 2012</w:t>
            </w:r>
          </w:p>
          <w:p w14:paraId="594CB63F" w14:textId="182EF091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Childhood self-poisoning: a one-year review</w:t>
            </w:r>
          </w:p>
        </w:tc>
        <w:tc>
          <w:tcPr>
            <w:tcW w:w="974" w:type="dxa"/>
          </w:tcPr>
          <w:p w14:paraId="6EF861E8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Scotland-Dundee</w:t>
            </w:r>
          </w:p>
        </w:tc>
        <w:tc>
          <w:tcPr>
            <w:tcW w:w="1440" w:type="dxa"/>
          </w:tcPr>
          <w:p w14:paraId="49D0E503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 xml:space="preserve">Retrospective observational </w:t>
            </w:r>
          </w:p>
        </w:tc>
        <w:tc>
          <w:tcPr>
            <w:tcW w:w="1276" w:type="dxa"/>
          </w:tcPr>
          <w:p w14:paraId="6DEE74EF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Children and Young people</w:t>
            </w:r>
            <w:r w:rsidRPr="00ED60F6">
              <w:rPr>
                <w:color w:val="000000"/>
                <w:sz w:val="18"/>
                <w:szCs w:val="18"/>
              </w:rPr>
              <w:br/>
            </w:r>
            <w:r w:rsidRPr="00ED60F6">
              <w:rPr>
                <w:color w:val="000000"/>
                <w:sz w:val="18"/>
                <w:szCs w:val="18"/>
              </w:rPr>
              <w:br/>
            </w:r>
          </w:p>
        </w:tc>
        <w:tc>
          <w:tcPr>
            <w:tcW w:w="1573" w:type="dxa"/>
          </w:tcPr>
          <w:p w14:paraId="7008F4A6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Dec 2008-Nov 2009, 232 attendances</w:t>
            </w:r>
          </w:p>
        </w:tc>
        <w:tc>
          <w:tcPr>
            <w:tcW w:w="1418" w:type="dxa"/>
          </w:tcPr>
          <w:p w14:paraId="229E8003" w14:textId="77777777" w:rsidR="00CC1AF3" w:rsidRPr="00ED60F6" w:rsidRDefault="00CC1AF3" w:rsidP="00DE44B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ED60F6">
              <w:rPr>
                <w:color w:val="000000"/>
                <w:sz w:val="18"/>
                <w:szCs w:val="18"/>
              </w:rPr>
              <w:t>36 POD cases</w:t>
            </w:r>
          </w:p>
        </w:tc>
        <w:tc>
          <w:tcPr>
            <w:tcW w:w="1327" w:type="dxa"/>
          </w:tcPr>
          <w:p w14:paraId="35A1C8BC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Not reported</w:t>
            </w:r>
          </w:p>
        </w:tc>
        <w:tc>
          <w:tcPr>
            <w:tcW w:w="1352" w:type="dxa"/>
          </w:tcPr>
          <w:p w14:paraId="1A9E9F61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Not reported</w:t>
            </w:r>
          </w:p>
        </w:tc>
        <w:tc>
          <w:tcPr>
            <w:tcW w:w="1418" w:type="dxa"/>
          </w:tcPr>
          <w:p w14:paraId="5254FFDD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Not Stated</w:t>
            </w:r>
          </w:p>
        </w:tc>
        <w:tc>
          <w:tcPr>
            <w:tcW w:w="1559" w:type="dxa"/>
          </w:tcPr>
          <w:p w14:paraId="21E8A0E5" w14:textId="77777777" w:rsidR="00CC1AF3" w:rsidRPr="00ED60F6" w:rsidRDefault="00CC1AF3" w:rsidP="00DE44B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ED60F6">
              <w:rPr>
                <w:color w:val="000000"/>
                <w:sz w:val="18"/>
                <w:szCs w:val="18"/>
              </w:rPr>
              <w:t>Intentional: self-harm in older children; Accidental in young children; poor supervision and formulations are palatable</w:t>
            </w:r>
          </w:p>
          <w:p w14:paraId="74714256" w14:textId="77777777" w:rsidR="00CC1AF3" w:rsidRPr="00ED60F6" w:rsidRDefault="00CC1AF3" w:rsidP="00DE44B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380AD295" w14:textId="77777777" w:rsidR="00CC1AF3" w:rsidRPr="00ED60F6" w:rsidRDefault="00CC1AF3" w:rsidP="00DE44B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ED60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14:paraId="123D62FE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None</w:t>
            </w:r>
          </w:p>
        </w:tc>
      </w:tr>
      <w:tr w:rsidR="00CC1AF3" w:rsidRPr="00ED60F6" w14:paraId="4E7C24B2" w14:textId="77777777" w:rsidTr="00DE44B4">
        <w:trPr>
          <w:cantSplit/>
          <w:trHeight w:val="1077"/>
          <w:jc w:val="center"/>
        </w:trPr>
        <w:tc>
          <w:tcPr>
            <w:tcW w:w="1550" w:type="dxa"/>
          </w:tcPr>
          <w:p w14:paraId="46AE0535" w14:textId="77777777" w:rsidR="00CC1AF3" w:rsidRPr="002469DB" w:rsidRDefault="00CC1AF3" w:rsidP="00DE44B4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2469DB">
              <w:rPr>
                <w:b/>
                <w:bCs/>
                <w:color w:val="000000"/>
                <w:sz w:val="18"/>
                <w:szCs w:val="18"/>
              </w:rPr>
              <w:t>Hewett 2013</w:t>
            </w:r>
          </w:p>
          <w:p w14:paraId="1D0A9AAC" w14:textId="5BCFAD6F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Missed paracetamol (acetaminophen) overdose due to confusion regarding drug names</w:t>
            </w:r>
          </w:p>
        </w:tc>
        <w:tc>
          <w:tcPr>
            <w:tcW w:w="974" w:type="dxa"/>
          </w:tcPr>
          <w:p w14:paraId="3ADC78D9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England-York</w:t>
            </w:r>
          </w:p>
        </w:tc>
        <w:tc>
          <w:tcPr>
            <w:tcW w:w="1440" w:type="dxa"/>
          </w:tcPr>
          <w:p w14:paraId="3714F7CC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Case study</w:t>
            </w:r>
          </w:p>
        </w:tc>
        <w:tc>
          <w:tcPr>
            <w:tcW w:w="1276" w:type="dxa"/>
          </w:tcPr>
          <w:p w14:paraId="3A731438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Adult</w:t>
            </w:r>
          </w:p>
        </w:tc>
        <w:tc>
          <w:tcPr>
            <w:tcW w:w="1573" w:type="dxa"/>
          </w:tcPr>
          <w:p w14:paraId="6BDB6A47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1 case</w:t>
            </w:r>
          </w:p>
        </w:tc>
        <w:tc>
          <w:tcPr>
            <w:tcW w:w="1418" w:type="dxa"/>
          </w:tcPr>
          <w:p w14:paraId="5B892000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1 POD</w:t>
            </w:r>
          </w:p>
        </w:tc>
        <w:tc>
          <w:tcPr>
            <w:tcW w:w="1327" w:type="dxa"/>
          </w:tcPr>
          <w:p w14:paraId="369D83BB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0% female</w:t>
            </w:r>
          </w:p>
        </w:tc>
        <w:tc>
          <w:tcPr>
            <w:tcW w:w="1352" w:type="dxa"/>
          </w:tcPr>
          <w:p w14:paraId="53D36DB5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Male student</w:t>
            </w:r>
          </w:p>
        </w:tc>
        <w:tc>
          <w:tcPr>
            <w:tcW w:w="1418" w:type="dxa"/>
          </w:tcPr>
          <w:p w14:paraId="71248B3F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Self-prescribed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ED60F6">
              <w:rPr>
                <w:color w:val="000000"/>
                <w:sz w:val="18"/>
                <w:szCs w:val="18"/>
              </w:rPr>
              <w:t>online</w:t>
            </w:r>
            <w:r>
              <w:rPr>
                <w:color w:val="000000"/>
                <w:sz w:val="18"/>
                <w:szCs w:val="18"/>
              </w:rPr>
              <w:t xml:space="preserve"> purchase</w:t>
            </w:r>
          </w:p>
        </w:tc>
        <w:tc>
          <w:tcPr>
            <w:tcW w:w="1559" w:type="dxa"/>
          </w:tcPr>
          <w:p w14:paraId="21FEEF91" w14:textId="77777777" w:rsidR="00CC1AF3" w:rsidRPr="00ED60F6" w:rsidRDefault="00CC1AF3" w:rsidP="00DE44B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ED60F6">
              <w:rPr>
                <w:color w:val="000000"/>
                <w:sz w:val="18"/>
                <w:szCs w:val="18"/>
              </w:rPr>
              <w:t>Self-harm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ED60F6">
              <w:rPr>
                <w:color w:val="000000"/>
                <w:sz w:val="18"/>
                <w:szCs w:val="18"/>
              </w:rPr>
              <w:t>Lack of knowledge (not aware acetaminophen is paracetamol)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ED60F6">
              <w:rPr>
                <w:color w:val="000000"/>
                <w:sz w:val="18"/>
                <w:szCs w:val="18"/>
              </w:rPr>
              <w:t xml:space="preserve">Online availability </w:t>
            </w:r>
          </w:p>
        </w:tc>
        <w:tc>
          <w:tcPr>
            <w:tcW w:w="1559" w:type="dxa"/>
          </w:tcPr>
          <w:p w14:paraId="4C3954EF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Alcohol. citalopram, dextromethorphan and chlorpheniramine. Fluoxetine (prescribed)</w:t>
            </w:r>
          </w:p>
        </w:tc>
      </w:tr>
      <w:tr w:rsidR="00CC1AF3" w:rsidRPr="00ED60F6" w14:paraId="519468C3" w14:textId="77777777" w:rsidTr="00DE44B4">
        <w:trPr>
          <w:trHeight w:val="1531"/>
          <w:jc w:val="center"/>
        </w:trPr>
        <w:tc>
          <w:tcPr>
            <w:tcW w:w="1550" w:type="dxa"/>
          </w:tcPr>
          <w:p w14:paraId="0B98B2A2" w14:textId="77777777" w:rsidR="00CC1AF3" w:rsidRPr="002469DB" w:rsidRDefault="00CC1AF3" w:rsidP="00DE44B4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2469DB">
              <w:rPr>
                <w:b/>
                <w:bCs/>
                <w:color w:val="000000"/>
                <w:sz w:val="18"/>
                <w:szCs w:val="18"/>
              </w:rPr>
              <w:lastRenderedPageBreak/>
              <w:t>Gunnell 2013</w:t>
            </w:r>
          </w:p>
          <w:p w14:paraId="7C09AEE4" w14:textId="493D7575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Programme Grants for Applied Research -STUDY 1: Long-Term evaluation of the impact of reduced pack sizes of paracetamol on poisoning deaths and liver transplant activity in England and Wales</w:t>
            </w:r>
          </w:p>
        </w:tc>
        <w:tc>
          <w:tcPr>
            <w:tcW w:w="974" w:type="dxa"/>
          </w:tcPr>
          <w:p w14:paraId="1A8749F5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England and Wales</w:t>
            </w:r>
          </w:p>
        </w:tc>
        <w:tc>
          <w:tcPr>
            <w:tcW w:w="1440" w:type="dxa"/>
          </w:tcPr>
          <w:p w14:paraId="532CE97C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Long-Term evaluation</w:t>
            </w:r>
          </w:p>
        </w:tc>
        <w:tc>
          <w:tcPr>
            <w:tcW w:w="1276" w:type="dxa"/>
          </w:tcPr>
          <w:p w14:paraId="7D061DB3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All ages</w:t>
            </w:r>
          </w:p>
        </w:tc>
        <w:tc>
          <w:tcPr>
            <w:tcW w:w="1573" w:type="dxa"/>
          </w:tcPr>
          <w:p w14:paraId="6EAE4C31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1998–2009</w:t>
            </w:r>
          </w:p>
        </w:tc>
        <w:tc>
          <w:tcPr>
            <w:tcW w:w="1418" w:type="dxa"/>
          </w:tcPr>
          <w:p w14:paraId="2FADF0DC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1095 suicides, 1547 accidental</w:t>
            </w:r>
          </w:p>
        </w:tc>
        <w:tc>
          <w:tcPr>
            <w:tcW w:w="1327" w:type="dxa"/>
          </w:tcPr>
          <w:p w14:paraId="3EFDE18B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1352" w:type="dxa"/>
          </w:tcPr>
          <w:p w14:paraId="2CC25F20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Not reported</w:t>
            </w:r>
          </w:p>
        </w:tc>
        <w:tc>
          <w:tcPr>
            <w:tcW w:w="1418" w:type="dxa"/>
          </w:tcPr>
          <w:p w14:paraId="37C808FF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1559" w:type="dxa"/>
          </w:tcPr>
          <w:p w14:paraId="100DE539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Self-harm, availability</w:t>
            </w:r>
          </w:p>
        </w:tc>
        <w:tc>
          <w:tcPr>
            <w:tcW w:w="1559" w:type="dxa"/>
          </w:tcPr>
          <w:p w14:paraId="001F733C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Household stock</w:t>
            </w:r>
          </w:p>
        </w:tc>
      </w:tr>
      <w:tr w:rsidR="00CC1AF3" w:rsidRPr="00ED60F6" w14:paraId="3AB6B6BC" w14:textId="77777777" w:rsidTr="00DE44B4">
        <w:trPr>
          <w:trHeight w:val="1587"/>
          <w:jc w:val="center"/>
        </w:trPr>
        <w:tc>
          <w:tcPr>
            <w:tcW w:w="1550" w:type="dxa"/>
          </w:tcPr>
          <w:p w14:paraId="4583E1E0" w14:textId="77777777" w:rsidR="00CC1AF3" w:rsidRPr="002469DB" w:rsidRDefault="00CC1AF3" w:rsidP="00DE44B4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2469DB">
              <w:rPr>
                <w:b/>
                <w:bCs/>
                <w:color w:val="000000"/>
                <w:sz w:val="18"/>
                <w:szCs w:val="18"/>
              </w:rPr>
              <w:t>Hawton 2013</w:t>
            </w:r>
          </w:p>
          <w:p w14:paraId="6F7D18DA" w14:textId="55CFE630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Long term effect of reduced pack sizes of paracetamol on poisoning deaths and liver transplant activity in England and Wales: interrupted time series analyses</w:t>
            </w:r>
          </w:p>
        </w:tc>
        <w:tc>
          <w:tcPr>
            <w:tcW w:w="974" w:type="dxa"/>
          </w:tcPr>
          <w:p w14:paraId="2D2F522A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England and Wales</w:t>
            </w:r>
          </w:p>
        </w:tc>
        <w:tc>
          <w:tcPr>
            <w:tcW w:w="1440" w:type="dxa"/>
          </w:tcPr>
          <w:p w14:paraId="0B6FEF8D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Interrupted time series</w:t>
            </w:r>
          </w:p>
        </w:tc>
        <w:tc>
          <w:tcPr>
            <w:tcW w:w="1276" w:type="dxa"/>
          </w:tcPr>
          <w:p w14:paraId="6045A2FA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All ages</w:t>
            </w:r>
          </w:p>
        </w:tc>
        <w:tc>
          <w:tcPr>
            <w:tcW w:w="1573" w:type="dxa"/>
          </w:tcPr>
          <w:p w14:paraId="6A8A37D8" w14:textId="31372596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1993 to 2009; from 1998-2009: 57867 all causes (suicide, open)</w:t>
            </w:r>
          </w:p>
        </w:tc>
        <w:tc>
          <w:tcPr>
            <w:tcW w:w="1418" w:type="dxa"/>
          </w:tcPr>
          <w:p w14:paraId="538D504E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17BBB">
              <w:rPr>
                <w:color w:val="000000"/>
                <w:sz w:val="18"/>
                <w:szCs w:val="18"/>
              </w:rPr>
              <w:t>1998-2009:</w:t>
            </w:r>
            <w:r w:rsidRPr="00C17BBB">
              <w:rPr>
                <w:color w:val="000000"/>
                <w:sz w:val="18"/>
                <w:szCs w:val="18"/>
              </w:rPr>
              <w:br/>
              <w:t>-1095 paracetamol suicide, open</w:t>
            </w:r>
            <w:r w:rsidRPr="00C17BBB">
              <w:rPr>
                <w:color w:val="000000"/>
                <w:sz w:val="18"/>
                <w:szCs w:val="18"/>
              </w:rPr>
              <w:br/>
              <w:t>-1547 Suicide, open, accidental</w:t>
            </w:r>
            <w:r w:rsidRPr="00ED60F6">
              <w:rPr>
                <w:color w:val="000000"/>
                <w:sz w:val="18"/>
                <w:szCs w:val="18"/>
                <w:highlight w:val="yellow"/>
              </w:rPr>
              <w:br/>
            </w:r>
          </w:p>
        </w:tc>
        <w:tc>
          <w:tcPr>
            <w:tcW w:w="1327" w:type="dxa"/>
          </w:tcPr>
          <w:p w14:paraId="6F4E9D52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Not reported</w:t>
            </w:r>
          </w:p>
        </w:tc>
        <w:tc>
          <w:tcPr>
            <w:tcW w:w="1352" w:type="dxa"/>
          </w:tcPr>
          <w:p w14:paraId="35F63C97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1418" w:type="dxa"/>
          </w:tcPr>
          <w:p w14:paraId="427F329D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Self-prescribed/not stated</w:t>
            </w:r>
          </w:p>
        </w:tc>
        <w:tc>
          <w:tcPr>
            <w:tcW w:w="1559" w:type="dxa"/>
          </w:tcPr>
          <w:p w14:paraId="24C58EFF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 xml:space="preserve">Paracetamol legislation; impulsive overdoses; household access </w:t>
            </w:r>
          </w:p>
        </w:tc>
        <w:tc>
          <w:tcPr>
            <w:tcW w:w="1559" w:type="dxa"/>
          </w:tcPr>
          <w:p w14:paraId="4A0B9DEF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None</w:t>
            </w:r>
          </w:p>
        </w:tc>
      </w:tr>
      <w:tr w:rsidR="00CC1AF3" w:rsidRPr="00ED60F6" w14:paraId="729E7422" w14:textId="77777777" w:rsidTr="00DE44B4">
        <w:trPr>
          <w:trHeight w:val="1361"/>
          <w:jc w:val="center"/>
        </w:trPr>
        <w:tc>
          <w:tcPr>
            <w:tcW w:w="1550" w:type="dxa"/>
          </w:tcPr>
          <w:p w14:paraId="0E8D2D21" w14:textId="77777777" w:rsidR="00CC1AF3" w:rsidRPr="002469DB" w:rsidRDefault="00CC1AF3" w:rsidP="00DE44B4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2469DB">
              <w:rPr>
                <w:b/>
                <w:bCs/>
                <w:color w:val="000000"/>
                <w:sz w:val="18"/>
                <w:szCs w:val="18"/>
              </w:rPr>
              <w:t>Adams 2014</w:t>
            </w:r>
          </w:p>
          <w:p w14:paraId="590914DE" w14:textId="23BEB3BA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Paracetamol excess related to dental pain in adults: National poisons information service enquiries pre-and post-Medicines and </w:t>
            </w: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healthcare products regulatory agency guideline changes</w:t>
            </w:r>
          </w:p>
        </w:tc>
        <w:tc>
          <w:tcPr>
            <w:tcW w:w="974" w:type="dxa"/>
          </w:tcPr>
          <w:p w14:paraId="4C72663C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Scotland</w:t>
            </w:r>
          </w:p>
        </w:tc>
        <w:tc>
          <w:tcPr>
            <w:tcW w:w="1440" w:type="dxa"/>
          </w:tcPr>
          <w:p w14:paraId="5BC8E09D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Retrospective Observational Study. Poster presentation</w:t>
            </w:r>
          </w:p>
        </w:tc>
        <w:tc>
          <w:tcPr>
            <w:tcW w:w="1276" w:type="dxa"/>
          </w:tcPr>
          <w:p w14:paraId="445DD88D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All ages</w:t>
            </w:r>
          </w:p>
        </w:tc>
        <w:tc>
          <w:tcPr>
            <w:tcW w:w="1573" w:type="dxa"/>
          </w:tcPr>
          <w:p w14:paraId="5F497A2E" w14:textId="0450F798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 xml:space="preserve">2011-2013: </w:t>
            </w:r>
            <w:r w:rsidRPr="00ED60F6">
              <w:rPr>
                <w:color w:val="000000"/>
                <w:sz w:val="18"/>
                <w:szCs w:val="18"/>
              </w:rPr>
              <w:br/>
              <w:t>98894 NPIS</w:t>
            </w:r>
            <w:r w:rsidR="00EF335D" w:rsidRPr="00EF335D">
              <w:rPr>
                <w:color w:val="000000"/>
                <w:sz w:val="18"/>
                <w:szCs w:val="18"/>
                <w:vertAlign w:val="superscript"/>
              </w:rPr>
              <w:t>s</w:t>
            </w:r>
            <w:r w:rsidRPr="00ED60F6">
              <w:rPr>
                <w:color w:val="000000"/>
                <w:sz w:val="18"/>
                <w:szCs w:val="18"/>
              </w:rPr>
              <w:t xml:space="preserve"> calls</w:t>
            </w:r>
          </w:p>
        </w:tc>
        <w:tc>
          <w:tcPr>
            <w:tcW w:w="1418" w:type="dxa"/>
          </w:tcPr>
          <w:p w14:paraId="20E11233" w14:textId="332CE2AF" w:rsidR="00CC1AF3" w:rsidRPr="00ED60F6" w:rsidRDefault="00CC1AF3" w:rsidP="00DE44B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ED60F6">
              <w:rPr>
                <w:color w:val="000000"/>
                <w:sz w:val="18"/>
                <w:szCs w:val="18"/>
              </w:rPr>
              <w:t>2011-2013:</w:t>
            </w:r>
            <w:r w:rsidRPr="00ED60F6">
              <w:rPr>
                <w:color w:val="000000"/>
                <w:sz w:val="18"/>
                <w:szCs w:val="18"/>
              </w:rPr>
              <w:br/>
              <w:t>98894 NPIS</w:t>
            </w:r>
            <w:r w:rsidR="00B43FB4" w:rsidRPr="00B43FB4">
              <w:rPr>
                <w:color w:val="000000"/>
                <w:sz w:val="18"/>
                <w:szCs w:val="18"/>
                <w:vertAlign w:val="superscript"/>
              </w:rPr>
              <w:t>s</w:t>
            </w:r>
            <w:r w:rsidRPr="00ED60F6">
              <w:rPr>
                <w:color w:val="000000"/>
                <w:sz w:val="18"/>
                <w:szCs w:val="18"/>
              </w:rPr>
              <w:t xml:space="preserve"> calls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ED60F6">
              <w:rPr>
                <w:color w:val="000000"/>
                <w:sz w:val="18"/>
                <w:szCs w:val="18"/>
              </w:rPr>
              <w:t>13589 for POD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ED60F6">
              <w:rPr>
                <w:color w:val="000000"/>
                <w:sz w:val="18"/>
                <w:szCs w:val="18"/>
              </w:rPr>
              <w:t>8256 for unintentional paracetamol exposure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ED60F6">
              <w:rPr>
                <w:color w:val="000000"/>
                <w:sz w:val="18"/>
                <w:szCs w:val="18"/>
              </w:rPr>
              <w:t xml:space="preserve">2036 for </w:t>
            </w:r>
            <w:r>
              <w:rPr>
                <w:color w:val="000000"/>
                <w:sz w:val="18"/>
                <w:szCs w:val="18"/>
              </w:rPr>
              <w:t>POD</w:t>
            </w:r>
            <w:r w:rsidRPr="00ED60F6">
              <w:rPr>
                <w:color w:val="000000"/>
                <w:sz w:val="18"/>
                <w:szCs w:val="18"/>
              </w:rPr>
              <w:t xml:space="preserve"> due to dental pain</w:t>
            </w:r>
            <w:r w:rsidRPr="00ED60F6">
              <w:rPr>
                <w:color w:val="000000"/>
                <w:sz w:val="18"/>
                <w:szCs w:val="18"/>
              </w:rPr>
              <w:br/>
            </w:r>
          </w:p>
          <w:p w14:paraId="7584000C" w14:textId="77777777" w:rsidR="00CC1AF3" w:rsidRPr="00ED60F6" w:rsidRDefault="00CC1AF3" w:rsidP="00DE44B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6402BE2C" w14:textId="77777777" w:rsidR="00CC1AF3" w:rsidRPr="00ED60F6" w:rsidRDefault="00CC1AF3" w:rsidP="00DE44B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58469AE4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327" w:type="dxa"/>
          </w:tcPr>
          <w:p w14:paraId="27B0EECD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lastRenderedPageBreak/>
              <w:t>Not reported</w:t>
            </w:r>
          </w:p>
        </w:tc>
        <w:tc>
          <w:tcPr>
            <w:tcW w:w="1352" w:type="dxa"/>
          </w:tcPr>
          <w:p w14:paraId="49C5FD5F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Not reported</w:t>
            </w:r>
          </w:p>
        </w:tc>
        <w:tc>
          <w:tcPr>
            <w:tcW w:w="1418" w:type="dxa"/>
          </w:tcPr>
          <w:p w14:paraId="4B96099E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Not Stated</w:t>
            </w:r>
          </w:p>
        </w:tc>
        <w:tc>
          <w:tcPr>
            <w:tcW w:w="1559" w:type="dxa"/>
          </w:tcPr>
          <w:p w14:paraId="55FBBFA6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Dental pain</w:t>
            </w:r>
            <w:r>
              <w:rPr>
                <w:color w:val="000000"/>
                <w:sz w:val="18"/>
                <w:szCs w:val="18"/>
              </w:rPr>
              <w:t>;</w:t>
            </w:r>
            <w:r w:rsidRPr="00ED60F6">
              <w:rPr>
                <w:color w:val="000000"/>
                <w:sz w:val="18"/>
                <w:szCs w:val="18"/>
              </w:rPr>
              <w:t xml:space="preserve"> Accidental /Intentional</w:t>
            </w:r>
          </w:p>
        </w:tc>
        <w:tc>
          <w:tcPr>
            <w:tcW w:w="1559" w:type="dxa"/>
          </w:tcPr>
          <w:p w14:paraId="35F4278F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None</w:t>
            </w:r>
          </w:p>
        </w:tc>
      </w:tr>
      <w:tr w:rsidR="00CC1AF3" w:rsidRPr="00ED60F6" w14:paraId="1A591D6A" w14:textId="77777777" w:rsidTr="00DE44B4">
        <w:trPr>
          <w:trHeight w:val="1928"/>
          <w:jc w:val="center"/>
        </w:trPr>
        <w:tc>
          <w:tcPr>
            <w:tcW w:w="1550" w:type="dxa"/>
          </w:tcPr>
          <w:p w14:paraId="43DA3EBA" w14:textId="77777777" w:rsidR="00CC1AF3" w:rsidRPr="002469DB" w:rsidRDefault="00CC1AF3" w:rsidP="00DE44B4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2469DB">
              <w:rPr>
                <w:b/>
                <w:bCs/>
                <w:color w:val="000000"/>
                <w:sz w:val="18"/>
                <w:szCs w:val="18"/>
              </w:rPr>
              <w:t>Mills 2014</w:t>
            </w:r>
          </w:p>
          <w:p w14:paraId="26A54182" w14:textId="6601BCD0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Concealed paracetamol overdose treated as HELLP syndrome in the presence of postpartum liver dysfunction</w:t>
            </w:r>
          </w:p>
        </w:tc>
        <w:tc>
          <w:tcPr>
            <w:tcW w:w="974" w:type="dxa"/>
          </w:tcPr>
          <w:p w14:paraId="2CCEED32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England-Plymouth</w:t>
            </w:r>
          </w:p>
        </w:tc>
        <w:tc>
          <w:tcPr>
            <w:tcW w:w="1440" w:type="dxa"/>
          </w:tcPr>
          <w:p w14:paraId="196E7042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Case study</w:t>
            </w:r>
          </w:p>
        </w:tc>
        <w:tc>
          <w:tcPr>
            <w:tcW w:w="1276" w:type="dxa"/>
          </w:tcPr>
          <w:p w14:paraId="3CD54654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Adult</w:t>
            </w:r>
          </w:p>
        </w:tc>
        <w:tc>
          <w:tcPr>
            <w:tcW w:w="1573" w:type="dxa"/>
          </w:tcPr>
          <w:p w14:paraId="5CF7E0C0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1; 36-week pregnant woman</w:t>
            </w:r>
          </w:p>
        </w:tc>
        <w:tc>
          <w:tcPr>
            <w:tcW w:w="1418" w:type="dxa"/>
          </w:tcPr>
          <w:p w14:paraId="2C761698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1 POD</w:t>
            </w:r>
          </w:p>
        </w:tc>
        <w:tc>
          <w:tcPr>
            <w:tcW w:w="1327" w:type="dxa"/>
          </w:tcPr>
          <w:p w14:paraId="494D8DD3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100% female</w:t>
            </w:r>
          </w:p>
        </w:tc>
        <w:tc>
          <w:tcPr>
            <w:tcW w:w="1352" w:type="dxa"/>
          </w:tcPr>
          <w:p w14:paraId="3F46B1DE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Not stated</w:t>
            </w:r>
          </w:p>
        </w:tc>
        <w:tc>
          <w:tcPr>
            <w:tcW w:w="1418" w:type="dxa"/>
          </w:tcPr>
          <w:p w14:paraId="16225FCD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Not stated</w:t>
            </w:r>
          </w:p>
        </w:tc>
        <w:tc>
          <w:tcPr>
            <w:tcW w:w="1559" w:type="dxa"/>
          </w:tcPr>
          <w:p w14:paraId="3FC20042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Mental health challenges; stress; pain; pregnancy; drug dependency; depression; previous pregnancies post-partum depression;</w:t>
            </w:r>
            <w:r w:rsidRPr="00ED60F6">
              <w:rPr>
                <w:color w:val="000000"/>
                <w:sz w:val="18"/>
                <w:szCs w:val="18"/>
              </w:rPr>
              <w:br/>
              <w:t>poor communication/ consideration of past events/health notes among health care professionals.</w:t>
            </w:r>
          </w:p>
        </w:tc>
        <w:tc>
          <w:tcPr>
            <w:tcW w:w="1559" w:type="dxa"/>
          </w:tcPr>
          <w:p w14:paraId="1090B414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None</w:t>
            </w:r>
          </w:p>
        </w:tc>
      </w:tr>
      <w:tr w:rsidR="00CC1AF3" w:rsidRPr="00ED60F6" w14:paraId="0DD9C4A8" w14:textId="77777777" w:rsidTr="00DE44B4">
        <w:trPr>
          <w:trHeight w:val="1531"/>
          <w:jc w:val="center"/>
        </w:trPr>
        <w:tc>
          <w:tcPr>
            <w:tcW w:w="1550" w:type="dxa"/>
          </w:tcPr>
          <w:p w14:paraId="67CA1D2F" w14:textId="77777777" w:rsidR="00CC1AF3" w:rsidRPr="002469DB" w:rsidRDefault="00CC1AF3" w:rsidP="00DE44B4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2469DB">
              <w:rPr>
                <w:b/>
                <w:bCs/>
                <w:color w:val="000000"/>
                <w:sz w:val="18"/>
                <w:szCs w:val="18"/>
              </w:rPr>
              <w:t>Gulmez 2015</w:t>
            </w:r>
          </w:p>
          <w:p w14:paraId="4FCE7E52" w14:textId="6BB55406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Liver transplant associated with paracetamol overdose: results from the seven-country SALT study</w:t>
            </w:r>
          </w:p>
        </w:tc>
        <w:tc>
          <w:tcPr>
            <w:tcW w:w="974" w:type="dxa"/>
          </w:tcPr>
          <w:p w14:paraId="3FD0FF5C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UK</w:t>
            </w:r>
          </w:p>
        </w:tc>
        <w:tc>
          <w:tcPr>
            <w:tcW w:w="1440" w:type="dxa"/>
          </w:tcPr>
          <w:p w14:paraId="4FE131A8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Observational epidemiological study</w:t>
            </w:r>
          </w:p>
        </w:tc>
        <w:tc>
          <w:tcPr>
            <w:tcW w:w="1276" w:type="dxa"/>
          </w:tcPr>
          <w:p w14:paraId="0D3ACD94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All ages</w:t>
            </w:r>
          </w:p>
        </w:tc>
        <w:tc>
          <w:tcPr>
            <w:tcW w:w="1573" w:type="dxa"/>
          </w:tcPr>
          <w:p w14:paraId="23ED6E8D" w14:textId="5C0131E8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2015: 52 transplant centres all over Europe; 9497 cases registered for liver transplant</w:t>
            </w:r>
          </w:p>
        </w:tc>
        <w:tc>
          <w:tcPr>
            <w:tcW w:w="1418" w:type="dxa"/>
          </w:tcPr>
          <w:p w14:paraId="66B6CB25" w14:textId="1625F790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63% UK ALFT</w:t>
            </w:r>
            <w:r w:rsidR="00B43FB4" w:rsidRPr="00B43FB4">
              <w:rPr>
                <w:color w:val="000000"/>
                <w:sz w:val="18"/>
                <w:szCs w:val="18"/>
                <w:vertAlign w:val="superscript"/>
              </w:rPr>
              <w:t>t</w:t>
            </w:r>
            <w:r w:rsidRPr="00B43FB4">
              <w:rPr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ED60F6">
              <w:rPr>
                <w:color w:val="000000"/>
                <w:sz w:val="18"/>
                <w:szCs w:val="18"/>
              </w:rPr>
              <w:t>linked to POD</w:t>
            </w:r>
            <w:r w:rsidRPr="00ED60F6">
              <w:rPr>
                <w:color w:val="000000"/>
                <w:sz w:val="18"/>
                <w:szCs w:val="18"/>
              </w:rPr>
              <w:br/>
              <w:t xml:space="preserve">  </w:t>
            </w:r>
          </w:p>
        </w:tc>
        <w:tc>
          <w:tcPr>
            <w:tcW w:w="1327" w:type="dxa"/>
          </w:tcPr>
          <w:p w14:paraId="0D9C45ED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Not extractable</w:t>
            </w:r>
          </w:p>
        </w:tc>
        <w:tc>
          <w:tcPr>
            <w:tcW w:w="1352" w:type="dxa"/>
          </w:tcPr>
          <w:p w14:paraId="3F3355C3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Not reported</w:t>
            </w:r>
          </w:p>
        </w:tc>
        <w:tc>
          <w:tcPr>
            <w:tcW w:w="1418" w:type="dxa"/>
          </w:tcPr>
          <w:p w14:paraId="2F6DEA50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Not stated</w:t>
            </w:r>
          </w:p>
        </w:tc>
        <w:tc>
          <w:tcPr>
            <w:tcW w:w="1559" w:type="dxa"/>
          </w:tcPr>
          <w:p w14:paraId="26C2DC0D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Higher rates in UK/Ireland, social/behavioural factors.</w:t>
            </w:r>
          </w:p>
        </w:tc>
        <w:tc>
          <w:tcPr>
            <w:tcW w:w="1559" w:type="dxa"/>
          </w:tcPr>
          <w:p w14:paraId="1C80A229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None</w:t>
            </w:r>
          </w:p>
        </w:tc>
      </w:tr>
      <w:tr w:rsidR="00CC1AF3" w:rsidRPr="00ED60F6" w14:paraId="428304CE" w14:textId="77777777" w:rsidTr="00DE44B4">
        <w:trPr>
          <w:trHeight w:val="1985"/>
          <w:jc w:val="center"/>
        </w:trPr>
        <w:tc>
          <w:tcPr>
            <w:tcW w:w="1550" w:type="dxa"/>
          </w:tcPr>
          <w:p w14:paraId="765A18A0" w14:textId="77777777" w:rsidR="00CC1AF3" w:rsidRPr="002469DB" w:rsidRDefault="00CC1AF3" w:rsidP="00DE44B4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2469DB">
              <w:rPr>
                <w:b/>
                <w:bCs/>
                <w:color w:val="000000"/>
                <w:sz w:val="18"/>
                <w:szCs w:val="18"/>
              </w:rPr>
              <w:lastRenderedPageBreak/>
              <w:t>Freitas 2023</w:t>
            </w:r>
          </w:p>
          <w:p w14:paraId="796FA9C8" w14:textId="26654991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Assessing Paracetamol Overdose in Children: Acceptability and Potential Market for a Non-Invasive Testing Device</w:t>
            </w:r>
          </w:p>
        </w:tc>
        <w:tc>
          <w:tcPr>
            <w:tcW w:w="974" w:type="dxa"/>
          </w:tcPr>
          <w:p w14:paraId="4BD16101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England-Liverpool</w:t>
            </w:r>
          </w:p>
        </w:tc>
        <w:tc>
          <w:tcPr>
            <w:tcW w:w="1440" w:type="dxa"/>
          </w:tcPr>
          <w:p w14:paraId="3A834D3D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Mixed-methods feasibility study</w:t>
            </w:r>
          </w:p>
        </w:tc>
        <w:tc>
          <w:tcPr>
            <w:tcW w:w="1276" w:type="dxa"/>
          </w:tcPr>
          <w:p w14:paraId="5A36E9E3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Children and Young people</w:t>
            </w:r>
          </w:p>
        </w:tc>
        <w:tc>
          <w:tcPr>
            <w:tcW w:w="1573" w:type="dxa"/>
          </w:tcPr>
          <w:p w14:paraId="07B7834F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127 cases</w:t>
            </w:r>
          </w:p>
        </w:tc>
        <w:tc>
          <w:tcPr>
            <w:tcW w:w="1418" w:type="dxa"/>
          </w:tcPr>
          <w:p w14:paraId="26351902" w14:textId="77777777" w:rsidR="00CC1AF3" w:rsidRPr="00ED60F6" w:rsidRDefault="00CC1AF3" w:rsidP="00DE44B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ED60F6">
              <w:rPr>
                <w:color w:val="000000"/>
                <w:sz w:val="18"/>
                <w:szCs w:val="18"/>
              </w:rPr>
              <w:t xml:space="preserve">Sept 2017-Aug 2018: </w:t>
            </w:r>
            <w:r w:rsidRPr="00ED60F6">
              <w:rPr>
                <w:color w:val="000000"/>
                <w:sz w:val="18"/>
                <w:szCs w:val="18"/>
              </w:rPr>
              <w:br/>
              <w:t>127 POD</w:t>
            </w:r>
            <w:r w:rsidRPr="00ED60F6">
              <w:rPr>
                <w:color w:val="000000"/>
                <w:sz w:val="18"/>
                <w:szCs w:val="18"/>
              </w:rPr>
              <w:br/>
              <w:t>of which 70(55.1%) intentional</w:t>
            </w:r>
            <w:r w:rsidRPr="00ED60F6">
              <w:rPr>
                <w:color w:val="000000"/>
                <w:sz w:val="18"/>
                <w:szCs w:val="18"/>
              </w:rPr>
              <w:br/>
              <w:t xml:space="preserve"> and 57 (44.9%) accidentals</w:t>
            </w:r>
          </w:p>
        </w:tc>
        <w:tc>
          <w:tcPr>
            <w:tcW w:w="1327" w:type="dxa"/>
          </w:tcPr>
          <w:p w14:paraId="5E0D3B1D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 xml:space="preserve"> 92.9% (70) female intentional; 54.4% (57) female accidental  </w:t>
            </w:r>
          </w:p>
        </w:tc>
        <w:tc>
          <w:tcPr>
            <w:tcW w:w="1352" w:type="dxa"/>
          </w:tcPr>
          <w:p w14:paraId="3CA1BC20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1418" w:type="dxa"/>
          </w:tcPr>
          <w:p w14:paraId="23BAE361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Not Stated</w:t>
            </w:r>
          </w:p>
        </w:tc>
        <w:tc>
          <w:tcPr>
            <w:tcW w:w="1559" w:type="dxa"/>
          </w:tcPr>
          <w:p w14:paraId="53B1CC37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Intentional POD in young females</w:t>
            </w:r>
          </w:p>
        </w:tc>
        <w:tc>
          <w:tcPr>
            <w:tcW w:w="1559" w:type="dxa"/>
          </w:tcPr>
          <w:p w14:paraId="66F43ADC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None</w:t>
            </w:r>
          </w:p>
        </w:tc>
      </w:tr>
      <w:tr w:rsidR="00CC1AF3" w:rsidRPr="00ED60F6" w14:paraId="37CF056B" w14:textId="77777777" w:rsidTr="00DE44B4">
        <w:trPr>
          <w:trHeight w:val="1985"/>
          <w:jc w:val="center"/>
        </w:trPr>
        <w:tc>
          <w:tcPr>
            <w:tcW w:w="1550" w:type="dxa"/>
          </w:tcPr>
          <w:p w14:paraId="375C287B" w14:textId="77777777" w:rsidR="00CC1AF3" w:rsidRPr="002469DB" w:rsidRDefault="00CC1AF3" w:rsidP="00DE44B4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2469DB">
              <w:rPr>
                <w:b/>
                <w:bCs/>
                <w:color w:val="000000"/>
                <w:sz w:val="18"/>
                <w:szCs w:val="18"/>
              </w:rPr>
              <w:t>Tyrrell 2024</w:t>
            </w:r>
          </w:p>
          <w:p w14:paraId="6589C1C3" w14:textId="16C3FBFF" w:rsidR="00CC1AF3" w:rsidRPr="00ED60F6" w:rsidRDefault="00CC1AF3" w:rsidP="00DE44B4">
            <w:pPr>
              <w:spacing w:after="0" w:line="240" w:lineRule="auto"/>
              <w:rPr>
                <w:sz w:val="18"/>
                <w:szCs w:val="18"/>
              </w:rPr>
            </w:pPr>
            <w:r w:rsidRPr="00ED60F6">
              <w:rPr>
                <w:color w:val="000000"/>
                <w:sz w:val="18"/>
                <w:szCs w:val="18"/>
              </w:rPr>
              <w:t>Patterns and trends of medicinal poisoning substances: a population-based cohort study of injuries in 0-11 year old children from 1998-2018</w:t>
            </w:r>
          </w:p>
        </w:tc>
        <w:tc>
          <w:tcPr>
            <w:tcW w:w="974" w:type="dxa"/>
          </w:tcPr>
          <w:p w14:paraId="70DB2FD3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England</w:t>
            </w:r>
          </w:p>
        </w:tc>
        <w:tc>
          <w:tcPr>
            <w:tcW w:w="1440" w:type="dxa"/>
          </w:tcPr>
          <w:p w14:paraId="23C6B7A0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Cohort study</w:t>
            </w:r>
          </w:p>
        </w:tc>
        <w:tc>
          <w:tcPr>
            <w:tcW w:w="1276" w:type="dxa"/>
          </w:tcPr>
          <w:p w14:paraId="197F4646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Children</w:t>
            </w:r>
            <w:r w:rsidRPr="00ED60F6">
              <w:rPr>
                <w:color w:val="000000"/>
                <w:sz w:val="18"/>
                <w:szCs w:val="18"/>
              </w:rPr>
              <w:br/>
            </w:r>
            <w:r w:rsidRPr="00ED60F6">
              <w:rPr>
                <w:color w:val="000000"/>
                <w:sz w:val="18"/>
                <w:szCs w:val="18"/>
              </w:rPr>
              <w:br/>
            </w:r>
          </w:p>
        </w:tc>
        <w:tc>
          <w:tcPr>
            <w:tcW w:w="1573" w:type="dxa"/>
          </w:tcPr>
          <w:p w14:paraId="42B7BA67" w14:textId="243365AF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>1998-2008:</w:t>
            </w:r>
            <w:r w:rsidRPr="00ED60F6">
              <w:rPr>
                <w:color w:val="000000"/>
                <w:sz w:val="18"/>
                <w:szCs w:val="18"/>
              </w:rPr>
              <w:br/>
              <w:t>-1</w:t>
            </w:r>
            <w:r w:rsidR="00C509B9">
              <w:rPr>
                <w:color w:val="000000"/>
                <w:sz w:val="18"/>
                <w:szCs w:val="18"/>
              </w:rPr>
              <w:t>.</w:t>
            </w:r>
            <w:r w:rsidRPr="00ED60F6">
              <w:rPr>
                <w:color w:val="000000"/>
                <w:sz w:val="18"/>
                <w:szCs w:val="18"/>
              </w:rPr>
              <w:t>49 million children, 3621 poisonings</w:t>
            </w:r>
          </w:p>
        </w:tc>
        <w:tc>
          <w:tcPr>
            <w:tcW w:w="1418" w:type="dxa"/>
          </w:tcPr>
          <w:p w14:paraId="1D76EC7E" w14:textId="77777777" w:rsidR="00CC1AF3" w:rsidRPr="00ED60F6" w:rsidRDefault="00CC1AF3" w:rsidP="00DE44B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ED60F6">
              <w:rPr>
                <w:color w:val="000000"/>
                <w:sz w:val="18"/>
                <w:szCs w:val="18"/>
              </w:rPr>
              <w:t xml:space="preserve">33.2% (1225) medicinal poisoning. </w:t>
            </w:r>
            <w:r w:rsidRPr="00ED60F6">
              <w:rPr>
                <w:color w:val="000000"/>
                <w:sz w:val="18"/>
                <w:szCs w:val="18"/>
              </w:rPr>
              <w:br/>
            </w:r>
          </w:p>
        </w:tc>
        <w:tc>
          <w:tcPr>
            <w:tcW w:w="1327" w:type="dxa"/>
          </w:tcPr>
          <w:p w14:paraId="765B66E7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 xml:space="preserve">Not reported </w:t>
            </w:r>
          </w:p>
        </w:tc>
        <w:tc>
          <w:tcPr>
            <w:tcW w:w="1352" w:type="dxa"/>
          </w:tcPr>
          <w:p w14:paraId="2B87908C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 xml:space="preserve">Deprivation pattern. 30% increase in risk of poisoning for children living in the most deprived areas. </w:t>
            </w:r>
            <w:r w:rsidRPr="00ED60F6">
              <w:rPr>
                <w:color w:val="000000"/>
                <w:sz w:val="18"/>
                <w:szCs w:val="18"/>
              </w:rPr>
              <w:br/>
            </w:r>
          </w:p>
        </w:tc>
        <w:tc>
          <w:tcPr>
            <w:tcW w:w="1418" w:type="dxa"/>
          </w:tcPr>
          <w:p w14:paraId="0AC1229B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color w:val="000000"/>
                <w:sz w:val="18"/>
                <w:szCs w:val="18"/>
              </w:rPr>
              <w:t xml:space="preserve">OTC/prescribed </w:t>
            </w:r>
          </w:p>
        </w:tc>
        <w:tc>
          <w:tcPr>
            <w:tcW w:w="1559" w:type="dxa"/>
          </w:tcPr>
          <w:p w14:paraId="2E593C52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sz w:val="18"/>
                <w:szCs w:val="18"/>
              </w:rPr>
              <w:t>Availability: accidental intent not recorded</w:t>
            </w:r>
          </w:p>
        </w:tc>
        <w:tc>
          <w:tcPr>
            <w:tcW w:w="1559" w:type="dxa"/>
          </w:tcPr>
          <w:p w14:paraId="306BEF7B" w14:textId="77777777" w:rsidR="00CC1AF3" w:rsidRPr="00ED60F6" w:rsidRDefault="00CC1AF3" w:rsidP="00DE44B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D60F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None</w:t>
            </w:r>
          </w:p>
        </w:tc>
      </w:tr>
    </w:tbl>
    <w:p w14:paraId="25EA7658" w14:textId="02D1DC55" w:rsidR="00552C6E" w:rsidRDefault="00552C6E" w:rsidP="00552C6E">
      <w:pPr>
        <w:pStyle w:val="Caption"/>
        <w:spacing w:after="0"/>
        <w:rPr>
          <w:i w:val="0"/>
          <w:iCs w:val="0"/>
        </w:rPr>
      </w:pPr>
      <w:r>
        <w:rPr>
          <w:i w:val="0"/>
          <w:iCs w:val="0"/>
          <w:vertAlign w:val="superscript"/>
        </w:rPr>
        <w:t>s</w:t>
      </w:r>
      <w:r w:rsidR="00B20EAB">
        <w:rPr>
          <w:i w:val="0"/>
          <w:iCs w:val="0"/>
        </w:rPr>
        <w:t>POM</w:t>
      </w:r>
      <w:r>
        <w:rPr>
          <w:i w:val="0"/>
          <w:iCs w:val="0"/>
        </w:rPr>
        <w:t>=</w:t>
      </w:r>
      <w:r w:rsidR="00B20EAB">
        <w:rPr>
          <w:i w:val="0"/>
          <w:iCs w:val="0"/>
        </w:rPr>
        <w:t>Prescription-Only Medicine</w:t>
      </w:r>
      <w:r w:rsidRPr="00423A4E">
        <w:rPr>
          <w:i w:val="0"/>
          <w:iCs w:val="0"/>
        </w:rPr>
        <w:t xml:space="preserve"> </w:t>
      </w:r>
    </w:p>
    <w:p w14:paraId="2ECAC1E5" w14:textId="77777777" w:rsidR="00552C6E" w:rsidRDefault="00552C6E" w:rsidP="00552C6E">
      <w:pPr>
        <w:pStyle w:val="Caption"/>
        <w:spacing w:after="0"/>
        <w:rPr>
          <w:i w:val="0"/>
          <w:iCs w:val="0"/>
        </w:rPr>
      </w:pPr>
      <w:r>
        <w:rPr>
          <w:i w:val="0"/>
          <w:iCs w:val="0"/>
          <w:vertAlign w:val="superscript"/>
        </w:rPr>
        <w:t>q</w:t>
      </w:r>
      <w:r>
        <w:rPr>
          <w:i w:val="0"/>
          <w:iCs w:val="0"/>
        </w:rPr>
        <w:t>GP=General Practitioner</w:t>
      </w:r>
    </w:p>
    <w:p w14:paraId="337D4350" w14:textId="77777777" w:rsidR="00552C6E" w:rsidRDefault="00552C6E" w:rsidP="00552C6E">
      <w:pPr>
        <w:pStyle w:val="Caption"/>
        <w:spacing w:after="0"/>
        <w:rPr>
          <w:i w:val="0"/>
          <w:iCs w:val="0"/>
        </w:rPr>
      </w:pPr>
      <w:bookmarkStart w:id="0" w:name="_Hlk231828719"/>
      <w:r w:rsidRPr="00F55B13">
        <w:rPr>
          <w:i w:val="0"/>
          <w:iCs w:val="0"/>
          <w:vertAlign w:val="superscript"/>
        </w:rPr>
        <w:t>r</w:t>
      </w:r>
      <w:r>
        <w:rPr>
          <w:i w:val="0"/>
          <w:iCs w:val="0"/>
        </w:rPr>
        <w:t>MHRA=</w:t>
      </w:r>
      <w:r w:rsidRPr="00F55B13">
        <w:rPr>
          <w:i w:val="0"/>
          <w:iCs w:val="0"/>
        </w:rPr>
        <w:t>Medicines and Healthcare products Regulatory Agency</w:t>
      </w:r>
      <w:bookmarkEnd w:id="0"/>
    </w:p>
    <w:p w14:paraId="5C5A7685" w14:textId="77777777" w:rsidR="00B43FB4" w:rsidRDefault="00EF335D" w:rsidP="00B43FB4">
      <w:pPr>
        <w:spacing w:after="0"/>
        <w:rPr>
          <w:color w:val="0E2841" w:themeColor="text2"/>
          <w:sz w:val="18"/>
          <w:szCs w:val="18"/>
        </w:rPr>
      </w:pPr>
      <w:r w:rsidRPr="00EF335D">
        <w:rPr>
          <w:color w:val="0E2841" w:themeColor="text2"/>
          <w:sz w:val="18"/>
          <w:szCs w:val="18"/>
          <w:vertAlign w:val="superscript"/>
        </w:rPr>
        <w:t>s</w:t>
      </w:r>
      <w:r>
        <w:rPr>
          <w:color w:val="0E2841" w:themeColor="text2"/>
          <w:sz w:val="18"/>
          <w:szCs w:val="18"/>
        </w:rPr>
        <w:t>NPIS</w:t>
      </w:r>
      <w:r w:rsidRPr="00EF335D">
        <w:rPr>
          <w:color w:val="0E2841" w:themeColor="text2"/>
          <w:sz w:val="18"/>
          <w:szCs w:val="18"/>
        </w:rPr>
        <w:t>=</w:t>
      </w:r>
      <w:r>
        <w:rPr>
          <w:color w:val="0E2841" w:themeColor="text2"/>
          <w:sz w:val="18"/>
          <w:szCs w:val="18"/>
        </w:rPr>
        <w:t>National</w:t>
      </w:r>
      <w:r w:rsidR="00705992">
        <w:rPr>
          <w:color w:val="0E2841" w:themeColor="text2"/>
          <w:sz w:val="18"/>
          <w:szCs w:val="18"/>
        </w:rPr>
        <w:t xml:space="preserve"> Poison Information Service </w:t>
      </w:r>
    </w:p>
    <w:p w14:paraId="214DE3EE" w14:textId="2A361A0C" w:rsidR="00B43FB4" w:rsidRPr="00B43FB4" w:rsidRDefault="00B43FB4" w:rsidP="00B43FB4">
      <w:pPr>
        <w:spacing w:after="0"/>
        <w:rPr>
          <w:color w:val="0E2841" w:themeColor="text2"/>
          <w:sz w:val="18"/>
          <w:szCs w:val="18"/>
        </w:rPr>
      </w:pPr>
      <w:r>
        <w:rPr>
          <w:color w:val="0E2841" w:themeColor="text2"/>
          <w:sz w:val="18"/>
          <w:szCs w:val="18"/>
          <w:vertAlign w:val="superscript"/>
        </w:rPr>
        <w:t>t</w:t>
      </w:r>
      <w:r w:rsidR="00745B48">
        <w:rPr>
          <w:color w:val="0E2841" w:themeColor="text2"/>
          <w:sz w:val="18"/>
          <w:szCs w:val="18"/>
        </w:rPr>
        <w:t>ALF</w:t>
      </w:r>
      <w:r w:rsidR="00FB0D02">
        <w:rPr>
          <w:color w:val="0E2841" w:themeColor="text2"/>
          <w:sz w:val="18"/>
          <w:szCs w:val="18"/>
        </w:rPr>
        <w:t>T</w:t>
      </w:r>
      <w:r w:rsidRPr="00EF335D">
        <w:rPr>
          <w:color w:val="0E2841" w:themeColor="text2"/>
          <w:sz w:val="18"/>
          <w:szCs w:val="18"/>
        </w:rPr>
        <w:t>=</w:t>
      </w:r>
      <w:r w:rsidR="00FB0D02">
        <w:rPr>
          <w:color w:val="0E2841" w:themeColor="text2"/>
          <w:sz w:val="18"/>
          <w:szCs w:val="18"/>
        </w:rPr>
        <w:t xml:space="preserve">Acute Liver Failure </w:t>
      </w:r>
      <w:r w:rsidR="00177E07">
        <w:rPr>
          <w:color w:val="0E2841" w:themeColor="text2"/>
          <w:sz w:val="18"/>
          <w:szCs w:val="18"/>
        </w:rPr>
        <w:t>Transplant</w:t>
      </w:r>
    </w:p>
    <w:p w14:paraId="5A9856FC" w14:textId="77777777" w:rsidR="00B43FB4" w:rsidRPr="00EF335D" w:rsidRDefault="00B43FB4" w:rsidP="00EF335D"/>
    <w:p w14:paraId="0D26F3E7" w14:textId="18191236" w:rsidR="00CC1AF3" w:rsidRDefault="00CC1AF3" w:rsidP="00E46D8D"/>
    <w:sectPr w:rsidR="00CC1AF3" w:rsidSect="00CC1AF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AF3"/>
    <w:rsid w:val="000C121B"/>
    <w:rsid w:val="000D50C6"/>
    <w:rsid w:val="00177E07"/>
    <w:rsid w:val="001D6B60"/>
    <w:rsid w:val="00552C6E"/>
    <w:rsid w:val="00705992"/>
    <w:rsid w:val="00745B48"/>
    <w:rsid w:val="00AC2630"/>
    <w:rsid w:val="00B20EAB"/>
    <w:rsid w:val="00B43FB4"/>
    <w:rsid w:val="00C509B9"/>
    <w:rsid w:val="00CC1AF3"/>
    <w:rsid w:val="00E46D8D"/>
    <w:rsid w:val="00E902EF"/>
    <w:rsid w:val="00EE6E3C"/>
    <w:rsid w:val="00EF335D"/>
    <w:rsid w:val="00FB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710D7"/>
  <w15:chartTrackingRefBased/>
  <w15:docId w15:val="{1C0CDAD9-9EEB-4434-BC04-E1EEA127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AF3"/>
  </w:style>
  <w:style w:type="paragraph" w:styleId="Heading1">
    <w:name w:val="heading 1"/>
    <w:basedOn w:val="Normal"/>
    <w:next w:val="Normal"/>
    <w:link w:val="Heading1Char"/>
    <w:uiPriority w:val="9"/>
    <w:qFormat/>
    <w:rsid w:val="00CC1A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1A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1A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1A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1A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1A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1A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1A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1A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1A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1A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1A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1A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1A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1A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1A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1A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1A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1A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1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1A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1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1A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1A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1A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1A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1A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1A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1AF3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CC1AF3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BF3F4BE92334DA6DA9DE3F3B124CD" ma:contentTypeVersion="10" ma:contentTypeDescription="Create a new document." ma:contentTypeScope="" ma:versionID="1f2e50f86eb605068686c1adebc90325">
  <xsd:schema xmlns:xsd="http://www.w3.org/2001/XMLSchema" xmlns:xs="http://www.w3.org/2001/XMLSchema" xmlns:p="http://schemas.microsoft.com/office/2006/metadata/properties" xmlns:ns2="e4f14e5a-899d-4990-a452-3796a52b7aac" targetNamespace="http://schemas.microsoft.com/office/2006/metadata/properties" ma:root="true" ma:fieldsID="b4bacf0311fca81160fa35d49a67cab6" ns2:_="">
    <xsd:import namespace="e4f14e5a-899d-4990-a452-3796a52b7a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14e5a-899d-4990-a452-3796a52b7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f14e5a-899d-4990-a452-3796a52b7aa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528A09-4259-4A3D-94D1-F369F0ECD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14e5a-899d-4990-a452-3796a52b7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193AAE-327C-479A-BF51-C12A90AA8320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e4f14e5a-899d-4990-a452-3796a52b7aac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3E1A988-5CAB-4CE9-B875-971A30C979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De Paoli (Staff)</dc:creator>
  <cp:keywords/>
  <dc:description/>
  <cp:lastModifiedBy>Giorgia De Paoli (Staff)</cp:lastModifiedBy>
  <cp:revision>15</cp:revision>
  <dcterms:created xsi:type="dcterms:W3CDTF">2026-06-08T13:28:00Z</dcterms:created>
  <dcterms:modified xsi:type="dcterms:W3CDTF">2026-07-03T15:07:00Z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0x0101000FBBF3F4BE92334DA6DA9DE3F3B124CD</vt:lpwstr>
  </property>
  <property fmtid="{D5CDD505-2E9C-101B-9397-08002B2CF9AE}" pid="3" name="MSIP_Label_a618d1e0-f5d7-4da7-8ddd-3b83021a2c85_Enabled">
    <vt:lpwstr>true</vt:lpwstr>
  </property>
  <property fmtid="{D5CDD505-2E9C-101B-9397-08002B2CF9AE}" pid="4" name="MSIP_Label_a618d1e0-f5d7-4da7-8ddd-3b83021a2c85_SetDate">
    <vt:lpwstr>2026-06-08T13:30:22Z</vt:lpwstr>
  </property>
  <property fmtid="{D5CDD505-2E9C-101B-9397-08002B2CF9AE}" pid="5" name="MSIP_Label_a618d1e0-f5d7-4da7-8ddd-3b83021a2c85_Method">
    <vt:lpwstr>Standard</vt:lpwstr>
  </property>
  <property fmtid="{D5CDD505-2E9C-101B-9397-08002B2CF9AE}" pid="6" name="MSIP_Label_a618d1e0-f5d7-4da7-8ddd-3b83021a2c85_Name">
    <vt:lpwstr>Private</vt:lpwstr>
  </property>
  <property fmtid="{D5CDD505-2E9C-101B-9397-08002B2CF9AE}" pid="7" name="MSIP_Label_a618d1e0-f5d7-4da7-8ddd-3b83021a2c85_SiteId">
    <vt:lpwstr>ae323139-093a-4d2a-81a6-5d334bcd9019</vt:lpwstr>
  </property>
  <property fmtid="{D5CDD505-2E9C-101B-9397-08002B2CF9AE}" pid="8" name="MSIP_Label_a618d1e0-f5d7-4da7-8ddd-3b83021a2c85_ActionId">
    <vt:lpwstr>311c925b-12f4-435a-9d9c-eb089177648d</vt:lpwstr>
  </property>
  <property fmtid="{D5CDD505-2E9C-101B-9397-08002B2CF9AE}" pid="9" name="MSIP_Label_a618d1e0-f5d7-4da7-8ddd-3b83021a2c85_ContentBits">
    <vt:lpwstr>0</vt:lpwstr>
  </property>
  <property fmtid="{D5CDD505-2E9C-101B-9397-08002B2CF9AE}" pid="10" name="MSIP_Label_a618d1e0-f5d7-4da7-8ddd-3b83021a2c85_Tag">
    <vt:lpwstr>10, 3, 0, 1</vt:lpwstr>
  </property>
  <property fmtid="{D5CDD505-2E9C-101B-9397-08002B2CF9AE}" pid="11" name="MediaServiceImageTags">
    <vt:lpwstr/>
  </property>
</Properties>
</file>