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5D230" w14:textId="77777777" w:rsidR="003D3A39" w:rsidRPr="00106161" w:rsidRDefault="003D3A39" w:rsidP="003D3A39">
      <w:pPr>
        <w:pStyle w:val="Caption"/>
        <w:spacing w:after="0"/>
        <w:rPr>
          <w:b/>
          <w:bCs/>
          <w:i w:val="0"/>
          <w:iCs w:val="0"/>
          <w:color w:val="auto"/>
          <w:sz w:val="24"/>
          <w:szCs w:val="24"/>
        </w:rPr>
      </w:pPr>
      <w:r w:rsidRPr="00106161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106161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106161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106161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106161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106161"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Accidental PODs only - </w:t>
      </w:r>
      <w:r w:rsidRPr="00106161">
        <w:rPr>
          <w:b/>
          <w:bCs/>
          <w:i w:val="0"/>
          <w:iCs w:val="0"/>
          <w:color w:val="auto"/>
          <w:sz w:val="24"/>
          <w:szCs w:val="24"/>
        </w:rPr>
        <w:t>Suggested interventions to reduce PODs</w:t>
      </w:r>
    </w:p>
    <w:tbl>
      <w:tblPr>
        <w:tblStyle w:val="TableGrid"/>
        <w:tblW w:w="9498" w:type="dxa"/>
        <w:jc w:val="center"/>
        <w:tblBorders>
          <w:top w:val="single" w:sz="4" w:space="0" w:color="ADADAD" w:themeColor="background2" w:themeShade="BF"/>
          <w:left w:val="single" w:sz="4" w:space="0" w:color="ADADAD" w:themeColor="background2" w:themeShade="BF"/>
          <w:bottom w:val="single" w:sz="4" w:space="0" w:color="ADADAD" w:themeColor="background2" w:themeShade="BF"/>
          <w:right w:val="single" w:sz="4" w:space="0" w:color="ADADAD" w:themeColor="background2" w:themeShade="BF"/>
          <w:insideH w:val="single" w:sz="4" w:space="0" w:color="ADADAD" w:themeColor="background2" w:themeShade="BF"/>
          <w:insideV w:val="single" w:sz="4" w:space="0" w:color="ADADAD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691"/>
        <w:gridCol w:w="1417"/>
        <w:gridCol w:w="2977"/>
      </w:tblGrid>
      <w:tr w:rsidR="003D3A39" w:rsidRPr="00C6682C" w14:paraId="6C821FD8" w14:textId="77777777" w:rsidTr="00DE44B4">
        <w:trPr>
          <w:trHeight w:val="283"/>
          <w:jc w:val="center"/>
        </w:trPr>
        <w:tc>
          <w:tcPr>
            <w:tcW w:w="9498" w:type="dxa"/>
            <w:gridSpan w:val="4"/>
            <w:tcBorders>
              <w:left w:val="single" w:sz="4" w:space="0" w:color="ADADAD" w:themeColor="background2" w:themeShade="BF"/>
            </w:tcBorders>
            <w:shd w:val="clear" w:color="auto" w:fill="E8E8E8" w:themeFill="background2"/>
          </w:tcPr>
          <w:p w14:paraId="1D15E86B" w14:textId="77777777" w:rsidR="003D3A39" w:rsidRPr="00C6682C" w:rsidRDefault="003D3A39" w:rsidP="00DE44B4">
            <w:pPr>
              <w:rPr>
                <w:b/>
                <w:bCs/>
                <w:sz w:val="18"/>
                <w:szCs w:val="18"/>
              </w:rPr>
            </w:pPr>
            <w:r w:rsidRPr="3DA6EA7F">
              <w:rPr>
                <w:b/>
                <w:bCs/>
                <w:sz w:val="18"/>
                <w:szCs w:val="18"/>
              </w:rPr>
              <w:t>Accidental Paracetamol Overdoses Only-Interventions Suggested</w:t>
            </w:r>
          </w:p>
        </w:tc>
      </w:tr>
      <w:tr w:rsidR="003D3A39" w:rsidRPr="00C6682C" w14:paraId="284F9244" w14:textId="77777777" w:rsidTr="00DE44B4">
        <w:trPr>
          <w:trHeight w:val="551"/>
          <w:jc w:val="center"/>
        </w:trPr>
        <w:tc>
          <w:tcPr>
            <w:tcW w:w="1413" w:type="dxa"/>
            <w:tcBorders>
              <w:left w:val="single" w:sz="4" w:space="0" w:color="ADADAD" w:themeColor="background2" w:themeShade="BF"/>
            </w:tcBorders>
            <w:shd w:val="clear" w:color="auto" w:fill="E8E8E8" w:themeFill="background2"/>
            <w:hideMark/>
          </w:tcPr>
          <w:p w14:paraId="570C8C8A" w14:textId="77777777" w:rsidR="003D3A39" w:rsidRPr="00C6682C" w:rsidRDefault="003D3A39" w:rsidP="00DE44B4">
            <w:pPr>
              <w:rPr>
                <w:b/>
                <w:bCs/>
                <w:sz w:val="18"/>
                <w:szCs w:val="18"/>
              </w:rPr>
            </w:pPr>
            <w:r w:rsidRPr="00C6682C">
              <w:rPr>
                <w:b/>
                <w:bCs/>
                <w:sz w:val="18"/>
                <w:szCs w:val="18"/>
              </w:rPr>
              <w:t>Authors, year</w:t>
            </w:r>
          </w:p>
        </w:tc>
        <w:tc>
          <w:tcPr>
            <w:tcW w:w="3691" w:type="dxa"/>
            <w:shd w:val="clear" w:color="auto" w:fill="E8E8E8" w:themeFill="background2"/>
            <w:hideMark/>
          </w:tcPr>
          <w:p w14:paraId="177879B4" w14:textId="77777777" w:rsidR="003D3A39" w:rsidRPr="00C6682C" w:rsidRDefault="003D3A39" w:rsidP="00DE44B4">
            <w:pPr>
              <w:rPr>
                <w:b/>
                <w:bCs/>
                <w:sz w:val="18"/>
                <w:szCs w:val="18"/>
              </w:rPr>
            </w:pPr>
            <w:r w:rsidRPr="00C6682C">
              <w:rPr>
                <w:b/>
                <w:bCs/>
                <w:sz w:val="18"/>
                <w:szCs w:val="18"/>
              </w:rPr>
              <w:t>Interventions suggested to reduce POD</w:t>
            </w:r>
          </w:p>
        </w:tc>
        <w:tc>
          <w:tcPr>
            <w:tcW w:w="1417" w:type="dxa"/>
            <w:shd w:val="clear" w:color="auto" w:fill="E8E8E8" w:themeFill="background2"/>
            <w:hideMark/>
          </w:tcPr>
          <w:p w14:paraId="03E1B3A1" w14:textId="77777777" w:rsidR="003D3A39" w:rsidRPr="00C6682C" w:rsidRDefault="003D3A39" w:rsidP="00DE44B4">
            <w:pPr>
              <w:rPr>
                <w:b/>
                <w:bCs/>
                <w:sz w:val="18"/>
                <w:szCs w:val="18"/>
              </w:rPr>
            </w:pPr>
            <w:r w:rsidRPr="00C6682C">
              <w:rPr>
                <w:b/>
                <w:bCs/>
                <w:sz w:val="18"/>
                <w:szCs w:val="18"/>
              </w:rPr>
              <w:t>Interventions suggested by:</w:t>
            </w:r>
          </w:p>
        </w:tc>
        <w:tc>
          <w:tcPr>
            <w:tcW w:w="2977" w:type="dxa"/>
            <w:shd w:val="clear" w:color="auto" w:fill="E8E8E8" w:themeFill="background2"/>
            <w:hideMark/>
          </w:tcPr>
          <w:p w14:paraId="04B4D4AD" w14:textId="77777777" w:rsidR="003D3A39" w:rsidRPr="00C6682C" w:rsidRDefault="003D3A39" w:rsidP="00DE44B4">
            <w:pPr>
              <w:rPr>
                <w:b/>
                <w:bCs/>
                <w:sz w:val="18"/>
                <w:szCs w:val="18"/>
              </w:rPr>
            </w:pPr>
            <w:r w:rsidRPr="00C6682C">
              <w:rPr>
                <w:b/>
                <w:bCs/>
                <w:sz w:val="18"/>
                <w:szCs w:val="18"/>
              </w:rPr>
              <w:t>Interventions Implemented (Y/N) / Implemented by who</w:t>
            </w:r>
          </w:p>
        </w:tc>
      </w:tr>
      <w:tr w:rsidR="003D3A39" w:rsidRPr="00C6682C" w14:paraId="46E90D64" w14:textId="77777777" w:rsidTr="00DE44B4">
        <w:trPr>
          <w:cantSplit/>
          <w:trHeight w:val="1247"/>
          <w:jc w:val="center"/>
        </w:trPr>
        <w:tc>
          <w:tcPr>
            <w:tcW w:w="1413" w:type="dxa"/>
            <w:hideMark/>
          </w:tcPr>
          <w:p w14:paraId="0FAB14FF" w14:textId="58D26E65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b/>
                <w:bCs/>
                <w:sz w:val="18"/>
                <w:szCs w:val="18"/>
              </w:rPr>
              <w:t>Dodd, 2002</w:t>
            </w:r>
            <w:r w:rsidRPr="009B21F9">
              <w:rPr>
                <w:sz w:val="18"/>
                <w:szCs w:val="18"/>
              </w:rPr>
              <w:br/>
            </w:r>
          </w:p>
        </w:tc>
        <w:tc>
          <w:tcPr>
            <w:tcW w:w="3691" w:type="dxa"/>
            <w:hideMark/>
          </w:tcPr>
          <w:p w14:paraId="31512965" w14:textId="77777777" w:rsidR="003D3A39" w:rsidRPr="009B21F9" w:rsidRDefault="003D3A39" w:rsidP="00DE44B4">
            <w:pPr>
              <w:spacing w:after="160"/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•Proactive patient education</w:t>
            </w:r>
            <w:r w:rsidRPr="009B21F9">
              <w:rPr>
                <w:sz w:val="18"/>
                <w:szCs w:val="18"/>
              </w:rPr>
              <w:br/>
              <w:t>•Written and verbal information availability.</w:t>
            </w:r>
            <w:r w:rsidRPr="009B21F9">
              <w:rPr>
                <w:sz w:val="18"/>
                <w:szCs w:val="18"/>
              </w:rPr>
              <w:br/>
              <w:t>•Increase of dental emergency provision.</w:t>
            </w:r>
            <w:r w:rsidRPr="009B21F9">
              <w:rPr>
                <w:sz w:val="18"/>
                <w:szCs w:val="18"/>
              </w:rPr>
              <w:br/>
              <w:t>•Awareness of emergency dental services and access routes.</w:t>
            </w:r>
          </w:p>
        </w:tc>
        <w:tc>
          <w:tcPr>
            <w:tcW w:w="1417" w:type="dxa"/>
            <w:hideMark/>
          </w:tcPr>
          <w:p w14:paraId="11ADC85C" w14:textId="77777777" w:rsidR="003D3A39" w:rsidRPr="009B21F9" w:rsidRDefault="003D3A39" w:rsidP="00DE44B4">
            <w:pPr>
              <w:spacing w:after="160"/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Authors</w:t>
            </w:r>
          </w:p>
        </w:tc>
        <w:tc>
          <w:tcPr>
            <w:tcW w:w="2977" w:type="dxa"/>
            <w:hideMark/>
          </w:tcPr>
          <w:p w14:paraId="52EC1B88" w14:textId="77777777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•Yes</w:t>
            </w:r>
            <w:r w:rsidRPr="009B21F9">
              <w:rPr>
                <w:sz w:val="18"/>
                <w:szCs w:val="18"/>
              </w:rPr>
              <w:br/>
              <w:t>•Patient seen by healthcare professional in hospital, discharged with safe self</w:t>
            </w:r>
            <w:r w:rsidRPr="009B21F9">
              <w:rPr>
                <w:sz w:val="18"/>
                <w:szCs w:val="18"/>
              </w:rPr>
              <w:noBreakHyphen/>
              <w:t>medication advice and dental referral.</w:t>
            </w:r>
          </w:p>
        </w:tc>
      </w:tr>
      <w:tr w:rsidR="003D3A39" w:rsidRPr="00C6682C" w14:paraId="6B80194A" w14:textId="77777777" w:rsidTr="00DE44B4">
        <w:trPr>
          <w:trHeight w:val="794"/>
          <w:jc w:val="center"/>
        </w:trPr>
        <w:tc>
          <w:tcPr>
            <w:tcW w:w="1413" w:type="dxa"/>
            <w:hideMark/>
          </w:tcPr>
          <w:p w14:paraId="75B39F20" w14:textId="1BE1EEB6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b/>
                <w:bCs/>
                <w:sz w:val="18"/>
                <w:szCs w:val="18"/>
              </w:rPr>
              <w:t>Thomas, 2007</w:t>
            </w:r>
            <w:r w:rsidRPr="009B21F9">
              <w:rPr>
                <w:sz w:val="18"/>
                <w:szCs w:val="18"/>
              </w:rPr>
              <w:br/>
            </w:r>
          </w:p>
        </w:tc>
        <w:tc>
          <w:tcPr>
            <w:tcW w:w="3691" w:type="dxa"/>
            <w:hideMark/>
          </w:tcPr>
          <w:p w14:paraId="06EC7AC0" w14:textId="77777777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 xml:space="preserve">•Patients education from dentists on analgesia management, and paracetamol-containing products.  </w:t>
            </w:r>
          </w:p>
        </w:tc>
        <w:tc>
          <w:tcPr>
            <w:tcW w:w="1417" w:type="dxa"/>
            <w:hideMark/>
          </w:tcPr>
          <w:p w14:paraId="392DCF6C" w14:textId="77777777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Authors</w:t>
            </w:r>
          </w:p>
        </w:tc>
        <w:tc>
          <w:tcPr>
            <w:tcW w:w="2977" w:type="dxa"/>
            <w:hideMark/>
          </w:tcPr>
          <w:p w14:paraId="2D7B3A80" w14:textId="77777777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•Yes</w:t>
            </w:r>
            <w:r w:rsidRPr="009B21F9">
              <w:rPr>
                <w:sz w:val="18"/>
                <w:szCs w:val="18"/>
              </w:rPr>
              <w:br/>
              <w:t>•Patient education provided by healthcare professional in hospital.</w:t>
            </w:r>
          </w:p>
        </w:tc>
      </w:tr>
      <w:tr w:rsidR="003D3A39" w:rsidRPr="00C6682C" w14:paraId="7ED692DB" w14:textId="77777777" w:rsidTr="00DE44B4">
        <w:trPr>
          <w:trHeight w:val="1757"/>
          <w:jc w:val="center"/>
        </w:trPr>
        <w:tc>
          <w:tcPr>
            <w:tcW w:w="1413" w:type="dxa"/>
            <w:hideMark/>
          </w:tcPr>
          <w:p w14:paraId="2C570F17" w14:textId="458F83AC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b/>
                <w:bCs/>
                <w:sz w:val="18"/>
                <w:szCs w:val="18"/>
              </w:rPr>
              <w:t>Aabideen, 2011</w:t>
            </w:r>
            <w:r w:rsidRPr="009B21F9">
              <w:rPr>
                <w:sz w:val="18"/>
                <w:szCs w:val="18"/>
              </w:rPr>
              <w:br/>
            </w:r>
          </w:p>
        </w:tc>
        <w:tc>
          <w:tcPr>
            <w:tcW w:w="3691" w:type="dxa"/>
            <w:hideMark/>
          </w:tcPr>
          <w:p w14:paraId="22EAABB7" w14:textId="77777777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•Good communication between HP and parents.</w:t>
            </w:r>
            <w:r w:rsidRPr="009B21F9">
              <w:rPr>
                <w:sz w:val="18"/>
                <w:szCs w:val="18"/>
              </w:rPr>
              <w:br/>
              <w:t>•Access to a translator in hospital setting.</w:t>
            </w:r>
            <w:r w:rsidRPr="009B21F9">
              <w:rPr>
                <w:sz w:val="18"/>
                <w:szCs w:val="18"/>
              </w:rPr>
              <w:br/>
              <w:t>•Importance of assessing patient's medications obtained abroad.</w:t>
            </w:r>
            <w:r w:rsidRPr="009B21F9">
              <w:rPr>
                <w:sz w:val="18"/>
                <w:szCs w:val="18"/>
              </w:rPr>
              <w:br/>
              <w:t>•Improving anamnesis and drug history for patients who travelled abroad.</w:t>
            </w:r>
            <w:r w:rsidRPr="009B21F9">
              <w:rPr>
                <w:sz w:val="18"/>
                <w:szCs w:val="18"/>
              </w:rPr>
              <w:br/>
              <w:t xml:space="preserve">•Unifying drugs formulation across the world. </w:t>
            </w:r>
          </w:p>
        </w:tc>
        <w:tc>
          <w:tcPr>
            <w:tcW w:w="1417" w:type="dxa"/>
            <w:hideMark/>
          </w:tcPr>
          <w:p w14:paraId="1FCA5477" w14:textId="77777777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Authors</w:t>
            </w:r>
          </w:p>
        </w:tc>
        <w:tc>
          <w:tcPr>
            <w:tcW w:w="2977" w:type="dxa"/>
            <w:hideMark/>
          </w:tcPr>
          <w:p w14:paraId="3017098F" w14:textId="77777777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 xml:space="preserve">No </w:t>
            </w:r>
          </w:p>
        </w:tc>
      </w:tr>
      <w:tr w:rsidR="003D3A39" w:rsidRPr="00C6682C" w14:paraId="40541FB6" w14:textId="77777777" w:rsidTr="00DE44B4">
        <w:trPr>
          <w:trHeight w:val="397"/>
          <w:jc w:val="center"/>
        </w:trPr>
        <w:tc>
          <w:tcPr>
            <w:tcW w:w="1413" w:type="dxa"/>
            <w:hideMark/>
          </w:tcPr>
          <w:p w14:paraId="08CCC895" w14:textId="2DBB493C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b/>
                <w:bCs/>
                <w:sz w:val="18"/>
                <w:szCs w:val="18"/>
              </w:rPr>
              <w:t>Knight, 2015</w:t>
            </w:r>
            <w:r w:rsidRPr="009B21F9">
              <w:rPr>
                <w:sz w:val="18"/>
                <w:szCs w:val="18"/>
              </w:rPr>
              <w:br/>
            </w:r>
          </w:p>
        </w:tc>
        <w:tc>
          <w:tcPr>
            <w:tcW w:w="3691" w:type="dxa"/>
            <w:hideMark/>
          </w:tcPr>
          <w:p w14:paraId="3337BAB2" w14:textId="77777777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•Improving safer medications storage promotion.</w:t>
            </w:r>
          </w:p>
        </w:tc>
        <w:tc>
          <w:tcPr>
            <w:tcW w:w="1417" w:type="dxa"/>
            <w:hideMark/>
          </w:tcPr>
          <w:p w14:paraId="7C020BD6" w14:textId="77777777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Authors</w:t>
            </w:r>
          </w:p>
        </w:tc>
        <w:tc>
          <w:tcPr>
            <w:tcW w:w="2977" w:type="dxa"/>
            <w:hideMark/>
          </w:tcPr>
          <w:p w14:paraId="758D1463" w14:textId="77777777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 xml:space="preserve">No </w:t>
            </w:r>
          </w:p>
        </w:tc>
      </w:tr>
      <w:tr w:rsidR="003D3A39" w:rsidRPr="00C6682C" w14:paraId="56D9F142" w14:textId="77777777" w:rsidTr="00DE44B4">
        <w:trPr>
          <w:trHeight w:val="2721"/>
          <w:jc w:val="center"/>
        </w:trPr>
        <w:tc>
          <w:tcPr>
            <w:tcW w:w="1413" w:type="dxa"/>
            <w:hideMark/>
          </w:tcPr>
          <w:p w14:paraId="76516BCB" w14:textId="04F53DEB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b/>
                <w:bCs/>
                <w:sz w:val="18"/>
                <w:szCs w:val="18"/>
              </w:rPr>
              <w:t>George, 2020</w:t>
            </w:r>
            <w:r w:rsidRPr="009B21F9">
              <w:rPr>
                <w:sz w:val="18"/>
                <w:szCs w:val="18"/>
              </w:rPr>
              <w:br/>
            </w:r>
          </w:p>
        </w:tc>
        <w:tc>
          <w:tcPr>
            <w:tcW w:w="3691" w:type="dxa"/>
            <w:hideMark/>
          </w:tcPr>
          <w:p w14:paraId="2CA1536B" w14:textId="254F5300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•Development of leaflets for safe dose regimens.</w:t>
            </w:r>
            <w:r w:rsidRPr="009B21F9">
              <w:rPr>
                <w:sz w:val="18"/>
                <w:szCs w:val="18"/>
              </w:rPr>
              <w:br/>
              <w:t xml:space="preserve">•Development of a dentist checklist for managing emergency dental pain appointments.  </w:t>
            </w:r>
            <w:r w:rsidRPr="009B21F9">
              <w:rPr>
                <w:sz w:val="18"/>
                <w:szCs w:val="18"/>
              </w:rPr>
              <w:br/>
              <w:t xml:space="preserve">•Directing patients to the NHS website for advice on paracetamol and drug regimens. </w:t>
            </w:r>
            <w:r w:rsidRPr="009B21F9">
              <w:rPr>
                <w:sz w:val="18"/>
                <w:szCs w:val="18"/>
              </w:rPr>
              <w:br/>
              <w:t xml:space="preserve">•Development of emergency dental slots in general dental practices.  </w:t>
            </w:r>
            <w:r w:rsidRPr="009B21F9">
              <w:rPr>
                <w:sz w:val="18"/>
                <w:szCs w:val="18"/>
              </w:rPr>
              <w:br/>
              <w:t xml:space="preserve">•Referral to local </w:t>
            </w:r>
            <w:proofErr w:type="spellStart"/>
            <w:r w:rsidRPr="009B21F9">
              <w:rPr>
                <w:sz w:val="18"/>
                <w:szCs w:val="18"/>
              </w:rPr>
              <w:t>A&amp;E</w:t>
            </w:r>
            <w:r w:rsidR="00DF210A" w:rsidRPr="00DF210A">
              <w:rPr>
                <w:sz w:val="18"/>
                <w:szCs w:val="18"/>
                <w:vertAlign w:val="superscript"/>
              </w:rPr>
              <w:t>j</w:t>
            </w:r>
            <w:proofErr w:type="spellEnd"/>
            <w:r w:rsidRPr="009B21F9">
              <w:rPr>
                <w:sz w:val="18"/>
                <w:szCs w:val="18"/>
              </w:rPr>
              <w:t xml:space="preserve"> for blood tests and hepatotoxicity monitoring for patients with suspected POD.</w:t>
            </w:r>
            <w:r w:rsidRPr="009B21F9">
              <w:rPr>
                <w:sz w:val="18"/>
                <w:szCs w:val="18"/>
              </w:rPr>
              <w:br/>
              <w:t>•Improving the presence of community dental services and out-of-hours clinics for patients experiencing dental pain.</w:t>
            </w:r>
          </w:p>
        </w:tc>
        <w:tc>
          <w:tcPr>
            <w:tcW w:w="1417" w:type="dxa"/>
            <w:hideMark/>
          </w:tcPr>
          <w:p w14:paraId="4409EF56" w14:textId="77777777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Authors</w:t>
            </w:r>
          </w:p>
        </w:tc>
        <w:tc>
          <w:tcPr>
            <w:tcW w:w="2977" w:type="dxa"/>
            <w:hideMark/>
          </w:tcPr>
          <w:p w14:paraId="4C2F8A50" w14:textId="3625677F" w:rsidR="003D3A39" w:rsidRPr="009B21F9" w:rsidRDefault="003D3A39" w:rsidP="00DE44B4">
            <w:pPr>
              <w:rPr>
                <w:sz w:val="18"/>
                <w:szCs w:val="18"/>
              </w:rPr>
            </w:pPr>
            <w:r w:rsidRPr="009B21F9">
              <w:rPr>
                <w:sz w:val="18"/>
                <w:szCs w:val="18"/>
              </w:rPr>
              <w:t>•Yes</w:t>
            </w:r>
            <w:r w:rsidRPr="009B21F9">
              <w:rPr>
                <w:sz w:val="18"/>
                <w:szCs w:val="18"/>
              </w:rPr>
              <w:br/>
              <w:t>•Authors: Creation of a Patient Information Leaflet</w:t>
            </w:r>
            <w:r w:rsidR="008928DE">
              <w:rPr>
                <w:sz w:val="18"/>
                <w:szCs w:val="18"/>
              </w:rPr>
              <w:t xml:space="preserve"> (PIL)</w:t>
            </w:r>
            <w:r w:rsidRPr="009B21F9">
              <w:rPr>
                <w:sz w:val="18"/>
                <w:szCs w:val="18"/>
              </w:rPr>
              <w:t xml:space="preserve"> for patients, and a checklist for dentists.</w:t>
            </w:r>
          </w:p>
        </w:tc>
      </w:tr>
    </w:tbl>
    <w:p w14:paraId="0AA9A648" w14:textId="50F1BAD4" w:rsidR="008928DE" w:rsidRPr="00423A4E" w:rsidRDefault="008928DE" w:rsidP="008928DE">
      <w:pPr>
        <w:pStyle w:val="Caption"/>
        <w:spacing w:after="0"/>
        <w:rPr>
          <w:i w:val="0"/>
          <w:iCs w:val="0"/>
        </w:rPr>
      </w:pPr>
      <w:proofErr w:type="spellStart"/>
      <w:r>
        <w:rPr>
          <w:i w:val="0"/>
          <w:iCs w:val="0"/>
          <w:vertAlign w:val="superscript"/>
        </w:rPr>
        <w:t>j</w:t>
      </w:r>
      <w:r>
        <w:rPr>
          <w:i w:val="0"/>
          <w:iCs w:val="0"/>
        </w:rPr>
        <w:t>A&amp;E</w:t>
      </w:r>
      <w:proofErr w:type="spellEnd"/>
      <w:r w:rsidRPr="00423A4E">
        <w:rPr>
          <w:i w:val="0"/>
          <w:iCs w:val="0"/>
        </w:rPr>
        <w:t xml:space="preserve">= </w:t>
      </w:r>
      <w:r>
        <w:rPr>
          <w:i w:val="0"/>
          <w:iCs w:val="0"/>
        </w:rPr>
        <w:t>Accidents and Emergency</w:t>
      </w:r>
      <w:r w:rsidRPr="00423A4E">
        <w:rPr>
          <w:i w:val="0"/>
          <w:iCs w:val="0"/>
        </w:rPr>
        <w:t xml:space="preserve">, </w:t>
      </w:r>
    </w:p>
    <w:p w14:paraId="1E6ED609" w14:textId="77777777" w:rsidR="003D3A39" w:rsidRPr="00516FDA" w:rsidRDefault="003D3A39"/>
    <w:sectPr w:rsidR="003D3A39" w:rsidRPr="00516F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EBAB7" w14:textId="77777777" w:rsidR="003D3A39" w:rsidRDefault="003D3A39" w:rsidP="003D3A39">
      <w:pPr>
        <w:spacing w:after="0" w:line="240" w:lineRule="auto"/>
      </w:pPr>
      <w:r>
        <w:separator/>
      </w:r>
    </w:p>
  </w:endnote>
  <w:endnote w:type="continuationSeparator" w:id="0">
    <w:p w14:paraId="5912396B" w14:textId="77777777" w:rsidR="003D3A39" w:rsidRDefault="003D3A39" w:rsidP="003D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F721" w14:textId="77777777" w:rsidR="003D3A39" w:rsidRDefault="003D3A39" w:rsidP="003D3A39">
      <w:pPr>
        <w:spacing w:after="0" w:line="240" w:lineRule="auto"/>
      </w:pPr>
      <w:r>
        <w:separator/>
      </w:r>
    </w:p>
  </w:footnote>
  <w:footnote w:type="continuationSeparator" w:id="0">
    <w:p w14:paraId="1E74C527" w14:textId="77777777" w:rsidR="003D3A39" w:rsidRDefault="003D3A39" w:rsidP="003D3A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39"/>
    <w:rsid w:val="003011C3"/>
    <w:rsid w:val="003D3A39"/>
    <w:rsid w:val="004973CF"/>
    <w:rsid w:val="00516FDA"/>
    <w:rsid w:val="00637B88"/>
    <w:rsid w:val="008928DE"/>
    <w:rsid w:val="00AC2630"/>
    <w:rsid w:val="00BA087C"/>
    <w:rsid w:val="00DF210A"/>
    <w:rsid w:val="00E9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7DE23"/>
  <w15:chartTrackingRefBased/>
  <w15:docId w15:val="{6D3FE572-755A-4C37-8530-F54846C9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39"/>
  </w:style>
  <w:style w:type="paragraph" w:styleId="Heading1">
    <w:name w:val="heading 1"/>
    <w:basedOn w:val="Normal"/>
    <w:next w:val="Normal"/>
    <w:link w:val="Heading1Char"/>
    <w:uiPriority w:val="9"/>
    <w:qFormat/>
    <w:rsid w:val="003D3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A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A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3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D3A3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973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3CF"/>
  </w:style>
  <w:style w:type="paragraph" w:styleId="Footer">
    <w:name w:val="footer"/>
    <w:basedOn w:val="Normal"/>
    <w:link w:val="FooterChar"/>
    <w:uiPriority w:val="99"/>
    <w:semiHidden/>
    <w:unhideWhenUsed/>
    <w:rsid w:val="004973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BF3F4BE92334DA6DA9DE3F3B124CD" ma:contentTypeVersion="10" ma:contentTypeDescription="Create a new document." ma:contentTypeScope="" ma:versionID="1f2e50f86eb605068686c1adebc90325">
  <xsd:schema xmlns:xsd="http://www.w3.org/2001/XMLSchema" xmlns:xs="http://www.w3.org/2001/XMLSchema" xmlns:p="http://schemas.microsoft.com/office/2006/metadata/properties" xmlns:ns2="e4f14e5a-899d-4990-a452-3796a52b7aac" targetNamespace="http://schemas.microsoft.com/office/2006/metadata/properties" ma:root="true" ma:fieldsID="b4bacf0311fca81160fa35d49a67cab6" ns2:_="">
    <xsd:import namespace="e4f14e5a-899d-4990-a452-3796a52b7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14e5a-899d-4990-a452-3796a52b7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f14e5a-899d-4990-a452-3796a52b7a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09A79F-6EC3-4665-AD65-1E009B098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14e5a-899d-4990-a452-3796a52b7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A60FA-5276-47E6-A3CA-5D75659490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70474-8706-42D3-9ED8-C288FB420F4E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e4f14e5a-899d-4990-a452-3796a52b7aac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De Paoli (Staff)</dc:creator>
  <cp:keywords/>
  <dc:description/>
  <cp:lastModifiedBy>Giorgia De Paoli (Staff)</cp:lastModifiedBy>
  <cp:revision>7</cp:revision>
  <dcterms:created xsi:type="dcterms:W3CDTF">2026-06-08T13:12:00Z</dcterms:created>
  <dcterms:modified xsi:type="dcterms:W3CDTF">2026-07-02T13:56:00Z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0x0101000FBBF3F4BE92334DA6DA9DE3F3B124CD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2026-06-08T13:14:33Z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02fddfce-7db8-4564-907b-614643c2b604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MediaServiceImageTags">
    <vt:lpwstr/>
  </property>
</Properties>
</file>