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0D50B" w14:textId="77777777" w:rsidR="003B06AA" w:rsidRDefault="003B06AA"/>
    <w:p w14:paraId="2B24B98E" w14:textId="77777777" w:rsidR="003B06AA" w:rsidRPr="00A76B90" w:rsidRDefault="003B06AA" w:rsidP="003B06AA">
      <w:pPr>
        <w:pStyle w:val="Caption"/>
        <w:spacing w:after="0"/>
        <w:rPr>
          <w:b/>
          <w:bCs/>
          <w:i w:val="0"/>
          <w:iCs w:val="0"/>
          <w:color w:val="auto"/>
          <w:sz w:val="24"/>
          <w:szCs w:val="24"/>
        </w:rPr>
      </w:pPr>
      <w:r w:rsidRPr="00A76B90">
        <w:rPr>
          <w:b/>
          <w:bCs/>
          <w:i w:val="0"/>
          <w:iCs w:val="0"/>
          <w:color w:val="auto"/>
          <w:sz w:val="24"/>
          <w:szCs w:val="24"/>
        </w:rPr>
        <w:t xml:space="preserve">Table </w:t>
      </w:r>
      <w:r w:rsidRPr="00A76B90">
        <w:rPr>
          <w:b/>
          <w:bCs/>
          <w:i w:val="0"/>
          <w:iCs w:val="0"/>
          <w:color w:val="auto"/>
          <w:sz w:val="24"/>
          <w:szCs w:val="24"/>
        </w:rPr>
        <w:fldChar w:fldCharType="begin"/>
      </w:r>
      <w:r w:rsidRPr="00A76B90">
        <w:rPr>
          <w:b/>
          <w:bCs/>
          <w:i w:val="0"/>
          <w:iCs w:val="0"/>
          <w:color w:val="auto"/>
          <w:sz w:val="24"/>
          <w:szCs w:val="24"/>
        </w:rPr>
        <w:instrText xml:space="preserve"> SEQ Table \* ARABIC </w:instrText>
      </w:r>
      <w:r w:rsidRPr="00A76B90">
        <w:rPr>
          <w:b/>
          <w:bCs/>
          <w:i w:val="0"/>
          <w:iCs w:val="0"/>
          <w:color w:val="auto"/>
          <w:sz w:val="24"/>
          <w:szCs w:val="24"/>
        </w:rPr>
        <w:fldChar w:fldCharType="separate"/>
      </w:r>
      <w:r>
        <w:rPr>
          <w:b/>
          <w:bCs/>
          <w:i w:val="0"/>
          <w:iCs w:val="0"/>
          <w:noProof/>
          <w:color w:val="auto"/>
          <w:sz w:val="24"/>
          <w:szCs w:val="24"/>
        </w:rPr>
        <w:t>3</w:t>
      </w:r>
      <w:r w:rsidRPr="00A76B90">
        <w:rPr>
          <w:b/>
          <w:bCs/>
          <w:i w:val="0"/>
          <w:iCs w:val="0"/>
          <w:color w:val="auto"/>
          <w:sz w:val="24"/>
          <w:szCs w:val="24"/>
        </w:rPr>
        <w:fldChar w:fldCharType="end"/>
      </w:r>
      <w:r w:rsidRPr="00A76B90">
        <w:rPr>
          <w:b/>
          <w:bCs/>
          <w:i w:val="0"/>
          <w:iCs w:val="0"/>
          <w:color w:val="auto"/>
          <w:sz w:val="24"/>
          <w:szCs w:val="24"/>
        </w:rPr>
        <w:t xml:space="preserve">: </w:t>
      </w:r>
      <w:r w:rsidRPr="005C0736">
        <w:rPr>
          <w:b/>
          <w:bCs/>
          <w:i w:val="0"/>
          <w:iCs w:val="0"/>
          <w:color w:val="auto"/>
          <w:sz w:val="24"/>
          <w:szCs w:val="24"/>
        </w:rPr>
        <w:t xml:space="preserve">Characteristics of studies reporting </w:t>
      </w:r>
      <w:r>
        <w:rPr>
          <w:b/>
          <w:bCs/>
          <w:i w:val="0"/>
          <w:iCs w:val="0"/>
          <w:color w:val="auto"/>
          <w:sz w:val="24"/>
          <w:szCs w:val="24"/>
        </w:rPr>
        <w:t>intentional</w:t>
      </w:r>
      <w:r w:rsidRPr="005C0736">
        <w:rPr>
          <w:b/>
          <w:bCs/>
          <w:i w:val="0"/>
          <w:iCs w:val="0"/>
          <w:color w:val="auto"/>
          <w:sz w:val="24"/>
          <w:szCs w:val="24"/>
        </w:rPr>
        <w:t xml:space="preserve"> paracetamol overdoses only</w:t>
      </w:r>
      <w:r>
        <w:rPr>
          <w:b/>
          <w:bCs/>
          <w:i w:val="0"/>
          <w:iCs w:val="0"/>
          <w:color w:val="auto"/>
          <w:sz w:val="24"/>
          <w:szCs w:val="24"/>
        </w:rPr>
        <w:t xml:space="preserve"> and factors linked to PODs</w:t>
      </w:r>
    </w:p>
    <w:tbl>
      <w:tblPr>
        <w:tblW w:w="15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6"/>
        <w:gridCol w:w="1459"/>
        <w:gridCol w:w="1459"/>
        <w:gridCol w:w="1222"/>
        <w:gridCol w:w="1447"/>
        <w:gridCol w:w="1288"/>
        <w:gridCol w:w="1313"/>
        <w:gridCol w:w="1397"/>
        <w:gridCol w:w="1266"/>
        <w:gridCol w:w="1853"/>
        <w:gridCol w:w="1599"/>
      </w:tblGrid>
      <w:tr w:rsidR="003B06AA" w:rsidRPr="00EC21BD" w14:paraId="504F97D9" w14:textId="77777777" w:rsidTr="003B06AA">
        <w:trPr>
          <w:trHeight w:val="283"/>
          <w:jc w:val="center"/>
        </w:trPr>
        <w:tc>
          <w:tcPr>
            <w:tcW w:w="15979" w:type="dxa"/>
            <w:gridSpan w:val="11"/>
            <w:shd w:val="clear" w:color="000000" w:fill="E8E8E8"/>
          </w:tcPr>
          <w:p w14:paraId="1117922E" w14:textId="77777777" w:rsidR="003B06AA" w:rsidRPr="00EC21BD" w:rsidRDefault="003B06AA" w:rsidP="00DE44B4">
            <w:pPr>
              <w:spacing w:after="0" w:line="240" w:lineRule="auto"/>
              <w:rPr>
                <w:rFonts w:eastAsia="Times New Roman" w:cs="Times New Roman"/>
                <w:b/>
                <w:bCs/>
                <w:color w:val="000000"/>
                <w:kern w:val="0"/>
                <w:sz w:val="18"/>
                <w:szCs w:val="18"/>
                <w:lang w:eastAsia="en-GB"/>
                <w14:ligatures w14:val="none"/>
              </w:rPr>
            </w:pPr>
            <w:r w:rsidRPr="00EC21BD">
              <w:rPr>
                <w:rFonts w:eastAsia="Times New Roman" w:cs="Times New Roman"/>
                <w:b/>
                <w:bCs/>
                <w:color w:val="000000"/>
                <w:kern w:val="0"/>
                <w:sz w:val="18"/>
                <w:szCs w:val="18"/>
                <w:lang w:eastAsia="en-GB"/>
                <w14:ligatures w14:val="none"/>
              </w:rPr>
              <w:t>Intentional Paracetamol Overdoses Only-Factors linked to POD</w:t>
            </w:r>
          </w:p>
        </w:tc>
      </w:tr>
      <w:tr w:rsidR="003B06AA" w:rsidRPr="00EC21BD" w14:paraId="21921A1D" w14:textId="77777777" w:rsidTr="003B06AA">
        <w:trPr>
          <w:trHeight w:val="1132"/>
          <w:jc w:val="center"/>
        </w:trPr>
        <w:tc>
          <w:tcPr>
            <w:tcW w:w="0" w:type="auto"/>
            <w:shd w:val="clear" w:color="000000" w:fill="E8E8E8"/>
            <w:hideMark/>
          </w:tcPr>
          <w:p w14:paraId="18812EF6" w14:textId="77777777" w:rsidR="003B06AA" w:rsidRPr="00EC21BD" w:rsidRDefault="003B06AA" w:rsidP="00DE44B4">
            <w:pPr>
              <w:spacing w:after="0" w:line="240" w:lineRule="auto"/>
              <w:rPr>
                <w:rFonts w:eastAsia="Times New Roman" w:cs="Times New Roman"/>
                <w:b/>
                <w:bCs/>
                <w:color w:val="000000"/>
                <w:kern w:val="0"/>
                <w:sz w:val="18"/>
                <w:szCs w:val="18"/>
                <w:lang w:eastAsia="en-GB"/>
                <w14:ligatures w14:val="none"/>
              </w:rPr>
            </w:pPr>
            <w:r w:rsidRPr="00EC21BD">
              <w:rPr>
                <w:rFonts w:eastAsia="Times New Roman" w:cs="Times New Roman"/>
                <w:b/>
                <w:bCs/>
                <w:color w:val="000000"/>
                <w:kern w:val="0"/>
                <w:sz w:val="18"/>
                <w:szCs w:val="18"/>
                <w:lang w:eastAsia="en-GB"/>
                <w14:ligatures w14:val="none"/>
              </w:rPr>
              <w:t>Authors, year</w:t>
            </w:r>
            <w:r w:rsidRPr="00EC21BD">
              <w:rPr>
                <w:rFonts w:eastAsia="Times New Roman" w:cs="Times New Roman"/>
                <w:b/>
                <w:bCs/>
                <w:color w:val="000000"/>
                <w:kern w:val="0"/>
                <w:sz w:val="18"/>
                <w:szCs w:val="18"/>
                <w:lang w:eastAsia="en-GB"/>
                <w14:ligatures w14:val="none"/>
              </w:rPr>
              <w:br/>
              <w:t>Title</w:t>
            </w:r>
          </w:p>
        </w:tc>
        <w:tc>
          <w:tcPr>
            <w:tcW w:w="1459" w:type="dxa"/>
            <w:shd w:val="clear" w:color="000000" w:fill="E8E8E8"/>
            <w:hideMark/>
          </w:tcPr>
          <w:p w14:paraId="2EF33FA7" w14:textId="77777777" w:rsidR="003B06AA" w:rsidRPr="00EC21BD" w:rsidRDefault="003B06AA" w:rsidP="00DE44B4">
            <w:pPr>
              <w:spacing w:after="0" w:line="240" w:lineRule="auto"/>
              <w:rPr>
                <w:rFonts w:eastAsia="Times New Roman" w:cs="Times New Roman"/>
                <w:b/>
                <w:bCs/>
                <w:color w:val="000000"/>
                <w:kern w:val="0"/>
                <w:sz w:val="18"/>
                <w:szCs w:val="18"/>
                <w:lang w:eastAsia="en-GB"/>
                <w14:ligatures w14:val="none"/>
              </w:rPr>
            </w:pPr>
            <w:r w:rsidRPr="00EC21BD">
              <w:rPr>
                <w:rFonts w:eastAsia="Times New Roman" w:cs="Times New Roman"/>
                <w:b/>
                <w:bCs/>
                <w:color w:val="000000"/>
                <w:kern w:val="0"/>
                <w:sz w:val="18"/>
                <w:szCs w:val="18"/>
                <w:lang w:eastAsia="en-GB"/>
                <w14:ligatures w14:val="none"/>
              </w:rPr>
              <w:t>UK study location</w:t>
            </w:r>
          </w:p>
        </w:tc>
        <w:tc>
          <w:tcPr>
            <w:tcW w:w="1459" w:type="dxa"/>
            <w:shd w:val="clear" w:color="000000" w:fill="E8E8E8"/>
            <w:hideMark/>
          </w:tcPr>
          <w:p w14:paraId="44DDAA8E" w14:textId="77777777" w:rsidR="003B06AA" w:rsidRPr="00EC21BD" w:rsidRDefault="003B06AA" w:rsidP="00DE44B4">
            <w:pPr>
              <w:spacing w:after="0" w:line="240" w:lineRule="auto"/>
              <w:rPr>
                <w:rFonts w:eastAsia="Times New Roman" w:cs="Times New Roman"/>
                <w:b/>
                <w:bCs/>
                <w:color w:val="000000"/>
                <w:kern w:val="0"/>
                <w:sz w:val="18"/>
                <w:szCs w:val="18"/>
                <w:lang w:eastAsia="en-GB"/>
                <w14:ligatures w14:val="none"/>
              </w:rPr>
            </w:pPr>
            <w:r w:rsidRPr="00EC21BD">
              <w:rPr>
                <w:rFonts w:eastAsia="Times New Roman" w:cs="Times New Roman"/>
                <w:b/>
                <w:bCs/>
                <w:color w:val="000000"/>
                <w:kern w:val="0"/>
                <w:sz w:val="18"/>
                <w:szCs w:val="18"/>
                <w:lang w:eastAsia="en-GB"/>
                <w14:ligatures w14:val="none"/>
              </w:rPr>
              <w:t>Type of</w:t>
            </w:r>
          </w:p>
          <w:p w14:paraId="06E4EEF8" w14:textId="77777777" w:rsidR="003B06AA" w:rsidRPr="00EC21BD" w:rsidRDefault="003B06AA" w:rsidP="00DE44B4">
            <w:pPr>
              <w:spacing w:after="0" w:line="240" w:lineRule="auto"/>
              <w:rPr>
                <w:rFonts w:eastAsia="Times New Roman" w:cs="Times New Roman"/>
                <w:b/>
                <w:bCs/>
                <w:color w:val="000000"/>
                <w:kern w:val="0"/>
                <w:sz w:val="18"/>
                <w:szCs w:val="18"/>
                <w:lang w:eastAsia="en-GB"/>
                <w14:ligatures w14:val="none"/>
              </w:rPr>
            </w:pPr>
            <w:r w:rsidRPr="00EC21BD">
              <w:rPr>
                <w:rFonts w:eastAsia="Times New Roman" w:cs="Times New Roman"/>
                <w:b/>
                <w:bCs/>
                <w:color w:val="000000"/>
                <w:kern w:val="0"/>
                <w:sz w:val="18"/>
                <w:szCs w:val="18"/>
                <w:lang w:eastAsia="en-GB"/>
                <w14:ligatures w14:val="none"/>
              </w:rPr>
              <w:t>Study</w:t>
            </w:r>
          </w:p>
        </w:tc>
        <w:tc>
          <w:tcPr>
            <w:tcW w:w="0" w:type="auto"/>
            <w:shd w:val="clear" w:color="000000" w:fill="E8E8E8"/>
            <w:hideMark/>
          </w:tcPr>
          <w:p w14:paraId="17B04A5B" w14:textId="77777777" w:rsidR="003B06AA" w:rsidRPr="00EC21BD" w:rsidRDefault="003B06AA" w:rsidP="00DE44B4">
            <w:pPr>
              <w:spacing w:after="0" w:line="240" w:lineRule="auto"/>
              <w:rPr>
                <w:rFonts w:eastAsia="Times New Roman" w:cs="Times New Roman"/>
                <w:b/>
                <w:bCs/>
                <w:color w:val="000000"/>
                <w:kern w:val="0"/>
                <w:sz w:val="18"/>
                <w:szCs w:val="18"/>
                <w:lang w:eastAsia="en-GB"/>
                <w14:ligatures w14:val="none"/>
              </w:rPr>
            </w:pPr>
            <w:r w:rsidRPr="00EC21BD">
              <w:rPr>
                <w:rFonts w:eastAsia="Times New Roman" w:cs="Times New Roman"/>
                <w:b/>
                <w:bCs/>
                <w:color w:val="000000"/>
                <w:kern w:val="0"/>
                <w:sz w:val="18"/>
                <w:szCs w:val="18"/>
                <w:lang w:eastAsia="en-GB"/>
                <w14:ligatures w14:val="none"/>
              </w:rPr>
              <w:t>Age groups represented in the study sample</w:t>
            </w:r>
          </w:p>
        </w:tc>
        <w:tc>
          <w:tcPr>
            <w:tcW w:w="0" w:type="auto"/>
            <w:shd w:val="clear" w:color="000000" w:fill="E8E8E8"/>
            <w:hideMark/>
          </w:tcPr>
          <w:p w14:paraId="6121499E" w14:textId="77777777" w:rsidR="003B06AA" w:rsidRPr="00EC21BD" w:rsidRDefault="003B06AA" w:rsidP="00DE44B4">
            <w:pPr>
              <w:spacing w:after="0" w:line="240" w:lineRule="auto"/>
              <w:rPr>
                <w:rFonts w:eastAsia="Times New Roman" w:cs="Times New Roman"/>
                <w:b/>
                <w:bCs/>
                <w:color w:val="000000"/>
                <w:kern w:val="0"/>
                <w:sz w:val="18"/>
                <w:szCs w:val="18"/>
                <w:lang w:eastAsia="en-GB"/>
                <w14:ligatures w14:val="none"/>
              </w:rPr>
            </w:pPr>
            <w:r w:rsidRPr="00EC21BD">
              <w:rPr>
                <w:rFonts w:eastAsia="Times New Roman" w:cs="Times New Roman"/>
                <w:b/>
                <w:bCs/>
                <w:color w:val="000000"/>
                <w:kern w:val="0"/>
                <w:sz w:val="18"/>
                <w:szCs w:val="18"/>
                <w:lang w:eastAsia="en-GB"/>
                <w14:ligatures w14:val="none"/>
              </w:rPr>
              <w:t>Study period and total sample size</w:t>
            </w:r>
          </w:p>
        </w:tc>
        <w:tc>
          <w:tcPr>
            <w:tcW w:w="0" w:type="auto"/>
            <w:shd w:val="clear" w:color="000000" w:fill="E8E8E8"/>
            <w:hideMark/>
          </w:tcPr>
          <w:p w14:paraId="551213F4" w14:textId="77777777" w:rsidR="003B06AA" w:rsidRPr="00EC21BD" w:rsidRDefault="003B06AA" w:rsidP="00DE44B4">
            <w:pPr>
              <w:spacing w:after="0" w:line="240" w:lineRule="auto"/>
              <w:rPr>
                <w:rFonts w:eastAsia="Times New Roman" w:cs="Times New Roman"/>
                <w:b/>
                <w:bCs/>
                <w:color w:val="000000"/>
                <w:kern w:val="0"/>
                <w:sz w:val="18"/>
                <w:szCs w:val="18"/>
                <w:lang w:eastAsia="en-GB"/>
                <w14:ligatures w14:val="none"/>
              </w:rPr>
            </w:pPr>
            <w:r w:rsidRPr="00EC21BD">
              <w:rPr>
                <w:rFonts w:eastAsia="Times New Roman" w:cs="Times New Roman"/>
                <w:b/>
                <w:bCs/>
                <w:color w:val="000000"/>
                <w:kern w:val="0"/>
                <w:sz w:val="18"/>
                <w:szCs w:val="18"/>
                <w:lang w:eastAsia="en-GB"/>
                <w14:ligatures w14:val="none"/>
              </w:rPr>
              <w:t>Number of POD cases</w:t>
            </w:r>
          </w:p>
        </w:tc>
        <w:tc>
          <w:tcPr>
            <w:tcW w:w="0" w:type="auto"/>
            <w:shd w:val="clear" w:color="000000" w:fill="E8E8E8"/>
            <w:hideMark/>
          </w:tcPr>
          <w:p w14:paraId="31946483" w14:textId="77777777" w:rsidR="003B06AA" w:rsidRPr="00EC21BD" w:rsidRDefault="003B06AA" w:rsidP="00DE44B4">
            <w:pPr>
              <w:spacing w:after="0" w:line="240" w:lineRule="auto"/>
              <w:rPr>
                <w:rFonts w:eastAsia="Times New Roman" w:cs="Times New Roman"/>
                <w:b/>
                <w:bCs/>
                <w:color w:val="000000"/>
                <w:kern w:val="0"/>
                <w:sz w:val="18"/>
                <w:szCs w:val="18"/>
                <w:lang w:eastAsia="en-GB"/>
                <w14:ligatures w14:val="none"/>
              </w:rPr>
            </w:pPr>
            <w:r w:rsidRPr="00EC21BD">
              <w:rPr>
                <w:rFonts w:eastAsia="Times New Roman" w:cs="Times New Roman"/>
                <w:b/>
                <w:bCs/>
                <w:color w:val="000000"/>
                <w:kern w:val="0"/>
                <w:sz w:val="18"/>
                <w:szCs w:val="18"/>
                <w:lang w:eastAsia="en-GB"/>
                <w14:ligatures w14:val="none"/>
              </w:rPr>
              <w:t>% females experiencing POD</w:t>
            </w:r>
          </w:p>
        </w:tc>
        <w:tc>
          <w:tcPr>
            <w:tcW w:w="0" w:type="auto"/>
            <w:shd w:val="clear" w:color="000000" w:fill="E8E8E8"/>
            <w:hideMark/>
          </w:tcPr>
          <w:p w14:paraId="24E0CC82" w14:textId="77777777" w:rsidR="003B06AA" w:rsidRPr="00EC21BD" w:rsidRDefault="003B06AA" w:rsidP="00DE44B4">
            <w:pPr>
              <w:spacing w:after="0" w:line="240" w:lineRule="auto"/>
              <w:rPr>
                <w:rFonts w:eastAsia="Times New Roman" w:cs="Times New Roman"/>
                <w:b/>
                <w:bCs/>
                <w:color w:val="000000"/>
                <w:kern w:val="0"/>
                <w:sz w:val="18"/>
                <w:szCs w:val="18"/>
                <w:lang w:eastAsia="en-GB"/>
                <w14:ligatures w14:val="none"/>
              </w:rPr>
            </w:pPr>
            <w:r w:rsidRPr="00EC21BD">
              <w:rPr>
                <w:rFonts w:eastAsia="Times New Roman" w:cs="Times New Roman"/>
                <w:b/>
                <w:bCs/>
                <w:color w:val="000000"/>
                <w:kern w:val="0"/>
                <w:sz w:val="18"/>
                <w:szCs w:val="18"/>
                <w:lang w:eastAsia="en-GB"/>
                <w14:ligatures w14:val="none"/>
              </w:rPr>
              <w:t>SES of POD patients</w:t>
            </w:r>
          </w:p>
        </w:tc>
        <w:tc>
          <w:tcPr>
            <w:tcW w:w="1266" w:type="dxa"/>
            <w:shd w:val="clear" w:color="000000" w:fill="E8E8E8"/>
            <w:hideMark/>
          </w:tcPr>
          <w:p w14:paraId="5F1265AD" w14:textId="77777777" w:rsidR="003B06AA" w:rsidRPr="00EC21BD" w:rsidRDefault="003B06AA" w:rsidP="00DE44B4">
            <w:pPr>
              <w:spacing w:after="0" w:line="240" w:lineRule="auto"/>
              <w:rPr>
                <w:rFonts w:eastAsia="Times New Roman" w:cs="Times New Roman"/>
                <w:b/>
                <w:bCs/>
                <w:color w:val="000000"/>
                <w:kern w:val="0"/>
                <w:sz w:val="18"/>
                <w:szCs w:val="18"/>
                <w:lang w:eastAsia="en-GB"/>
                <w14:ligatures w14:val="none"/>
              </w:rPr>
            </w:pPr>
            <w:r w:rsidRPr="00EC21BD">
              <w:rPr>
                <w:rFonts w:eastAsia="Times New Roman" w:cs="Times New Roman"/>
                <w:b/>
                <w:bCs/>
                <w:color w:val="000000"/>
                <w:kern w:val="0"/>
                <w:sz w:val="18"/>
                <w:szCs w:val="18"/>
                <w:lang w:eastAsia="en-GB"/>
                <w14:ligatures w14:val="none"/>
              </w:rPr>
              <w:t>Source of paracetamol</w:t>
            </w:r>
          </w:p>
        </w:tc>
        <w:tc>
          <w:tcPr>
            <w:tcW w:w="1853" w:type="dxa"/>
            <w:shd w:val="clear" w:color="000000" w:fill="E8E8E8"/>
            <w:hideMark/>
          </w:tcPr>
          <w:p w14:paraId="5FD37E81" w14:textId="77777777" w:rsidR="003B06AA" w:rsidRPr="00EC21BD" w:rsidRDefault="003B06AA" w:rsidP="00DE44B4">
            <w:pPr>
              <w:spacing w:after="0" w:line="240" w:lineRule="auto"/>
              <w:rPr>
                <w:rFonts w:eastAsia="Times New Roman" w:cs="Times New Roman"/>
                <w:b/>
                <w:bCs/>
                <w:color w:val="000000"/>
                <w:kern w:val="0"/>
                <w:sz w:val="18"/>
                <w:szCs w:val="18"/>
                <w:lang w:eastAsia="en-GB"/>
                <w14:ligatures w14:val="none"/>
              </w:rPr>
            </w:pPr>
            <w:r w:rsidRPr="00EC21BD">
              <w:rPr>
                <w:rFonts w:eastAsia="Times New Roman" w:cs="Times New Roman"/>
                <w:b/>
                <w:bCs/>
                <w:color w:val="000000"/>
                <w:kern w:val="0"/>
                <w:sz w:val="18"/>
                <w:szCs w:val="18"/>
                <w:lang w:eastAsia="en-GB"/>
                <w14:ligatures w14:val="none"/>
              </w:rPr>
              <w:t>Factors linked to POD</w:t>
            </w:r>
          </w:p>
        </w:tc>
        <w:tc>
          <w:tcPr>
            <w:tcW w:w="1599" w:type="dxa"/>
            <w:shd w:val="clear" w:color="000000" w:fill="E8E8E8"/>
            <w:hideMark/>
          </w:tcPr>
          <w:p w14:paraId="4FA900D7" w14:textId="77777777" w:rsidR="003B06AA" w:rsidRPr="00EC21BD" w:rsidRDefault="003B06AA" w:rsidP="00DE44B4">
            <w:pPr>
              <w:spacing w:after="0" w:line="240" w:lineRule="auto"/>
              <w:rPr>
                <w:rFonts w:eastAsia="Times New Roman" w:cs="Times New Roman"/>
                <w:b/>
                <w:bCs/>
                <w:color w:val="000000"/>
                <w:kern w:val="0"/>
                <w:sz w:val="18"/>
                <w:szCs w:val="18"/>
                <w:lang w:eastAsia="en-GB"/>
                <w14:ligatures w14:val="none"/>
              </w:rPr>
            </w:pPr>
            <w:r w:rsidRPr="00EC21BD">
              <w:rPr>
                <w:rFonts w:eastAsia="Times New Roman" w:cs="Times New Roman"/>
                <w:b/>
                <w:bCs/>
                <w:color w:val="000000"/>
                <w:kern w:val="0"/>
                <w:sz w:val="18"/>
                <w:szCs w:val="18"/>
                <w:lang w:eastAsia="en-GB"/>
                <w14:ligatures w14:val="none"/>
              </w:rPr>
              <w:t>Other exposures</w:t>
            </w:r>
          </w:p>
        </w:tc>
      </w:tr>
      <w:tr w:rsidR="003B06AA" w:rsidRPr="00EC21BD" w14:paraId="430D02A0" w14:textId="77777777" w:rsidTr="003B06AA">
        <w:trPr>
          <w:trHeight w:val="2098"/>
          <w:jc w:val="center"/>
        </w:trPr>
        <w:tc>
          <w:tcPr>
            <w:tcW w:w="0" w:type="auto"/>
          </w:tcPr>
          <w:p w14:paraId="7D00947C" w14:textId="77777777" w:rsidR="003B06AA" w:rsidRPr="00EC21BD" w:rsidRDefault="003B06AA" w:rsidP="00DE44B4">
            <w:pPr>
              <w:spacing w:after="0" w:line="240" w:lineRule="auto"/>
              <w:rPr>
                <w:color w:val="000000"/>
                <w:sz w:val="18"/>
                <w:szCs w:val="18"/>
              </w:rPr>
            </w:pPr>
            <w:r w:rsidRPr="00EC21BD">
              <w:rPr>
                <w:b/>
                <w:bCs/>
                <w:color w:val="000000"/>
                <w:sz w:val="18"/>
                <w:szCs w:val="18"/>
              </w:rPr>
              <w:t>Wilkinson, 2002</w:t>
            </w:r>
          </w:p>
          <w:p w14:paraId="1A4D63F7" w14:textId="378263D5"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Admissions to hospital for deliberate self-harm in England 1995-2000: an analysis of hospital episode statistics</w:t>
            </w:r>
          </w:p>
        </w:tc>
        <w:tc>
          <w:tcPr>
            <w:tcW w:w="1459" w:type="dxa"/>
          </w:tcPr>
          <w:p w14:paraId="2600CB94"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England and Wales</w:t>
            </w:r>
          </w:p>
        </w:tc>
        <w:tc>
          <w:tcPr>
            <w:tcW w:w="1459" w:type="dxa"/>
          </w:tcPr>
          <w:p w14:paraId="078EC63C"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Retrospective descriptive epidemiological study</w:t>
            </w:r>
          </w:p>
        </w:tc>
        <w:tc>
          <w:tcPr>
            <w:tcW w:w="0" w:type="auto"/>
          </w:tcPr>
          <w:p w14:paraId="0B579AA1"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Any age</w:t>
            </w:r>
            <w:r w:rsidRPr="00EC21BD">
              <w:rPr>
                <w:color w:val="000000"/>
                <w:sz w:val="18"/>
                <w:szCs w:val="18"/>
              </w:rPr>
              <w:br/>
            </w:r>
            <w:r w:rsidRPr="00EC21BD">
              <w:rPr>
                <w:color w:val="000000"/>
                <w:sz w:val="18"/>
                <w:szCs w:val="18"/>
              </w:rPr>
              <w:br/>
            </w:r>
          </w:p>
        </w:tc>
        <w:tc>
          <w:tcPr>
            <w:tcW w:w="0" w:type="auto"/>
          </w:tcPr>
          <w:p w14:paraId="3AD3DA1F" w14:textId="5E8C699A" w:rsidR="003B06AA" w:rsidRPr="00EC21BD" w:rsidRDefault="003B06AA" w:rsidP="00DE44B4">
            <w:pPr>
              <w:spacing w:after="0"/>
              <w:rPr>
                <w:rFonts w:eastAsia="Times New Roman" w:cs="Times New Roman"/>
                <w:sz w:val="18"/>
                <w:szCs w:val="18"/>
                <w:lang w:eastAsia="en-GB"/>
              </w:rPr>
            </w:pPr>
            <w:r w:rsidRPr="00EC21BD">
              <w:rPr>
                <w:color w:val="000000"/>
                <w:sz w:val="18"/>
                <w:szCs w:val="18"/>
              </w:rPr>
              <w:t xml:space="preserve">1998–2000; ~60000 patients/year </w:t>
            </w:r>
          </w:p>
        </w:tc>
        <w:tc>
          <w:tcPr>
            <w:tcW w:w="0" w:type="auto"/>
          </w:tcPr>
          <w:p w14:paraId="6C63A39C" w14:textId="399831CA"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•1998–1999: ~34000; •1999–2000: ~33000 (admission)</w:t>
            </w:r>
          </w:p>
        </w:tc>
        <w:tc>
          <w:tcPr>
            <w:tcW w:w="0" w:type="auto"/>
          </w:tcPr>
          <w:p w14:paraId="45889B65"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0" w:type="auto"/>
          </w:tcPr>
          <w:p w14:paraId="24BE581F"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Not reported (authors speculated social deprivation trends)</w:t>
            </w:r>
          </w:p>
        </w:tc>
        <w:tc>
          <w:tcPr>
            <w:tcW w:w="1266" w:type="dxa"/>
          </w:tcPr>
          <w:p w14:paraId="35475C5A"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1853" w:type="dxa"/>
          </w:tcPr>
          <w:p w14:paraId="0DAEC04A"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POD-specific: </w:t>
            </w:r>
            <w:r w:rsidRPr="00EC21BD">
              <w:rPr>
                <w:color w:val="000000"/>
                <w:sz w:val="18"/>
                <w:szCs w:val="18"/>
              </w:rPr>
              <w:t>deliberate self-harm</w:t>
            </w:r>
            <w:r w:rsidRPr="00EC21BD">
              <w:rPr>
                <w:b/>
                <w:bCs/>
                <w:color w:val="000000"/>
                <w:sz w:val="18"/>
                <w:szCs w:val="18"/>
              </w:rPr>
              <w:t xml:space="preserve"> </w:t>
            </w:r>
          </w:p>
          <w:p w14:paraId="04139753"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r w:rsidRPr="00EC21BD">
              <w:rPr>
                <w:color w:val="000000"/>
                <w:sz w:val="18"/>
                <w:szCs w:val="18"/>
              </w:rPr>
              <w:t>none reported</w:t>
            </w:r>
          </w:p>
          <w:p w14:paraId="7EA106B8"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p>
        </w:tc>
        <w:tc>
          <w:tcPr>
            <w:tcW w:w="1599" w:type="dxa"/>
          </w:tcPr>
          <w:p w14:paraId="028BAA32"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Alcohol; psychotropic</w:t>
            </w:r>
            <w:r>
              <w:rPr>
                <w:color w:val="000000"/>
                <w:sz w:val="18"/>
                <w:szCs w:val="18"/>
              </w:rPr>
              <w:t>s</w:t>
            </w:r>
            <w:r w:rsidRPr="00EC21BD">
              <w:rPr>
                <w:color w:val="000000"/>
                <w:sz w:val="18"/>
                <w:szCs w:val="18"/>
              </w:rPr>
              <w:t>; sedative hypnotics</w:t>
            </w:r>
          </w:p>
        </w:tc>
      </w:tr>
      <w:tr w:rsidR="003B06AA" w:rsidRPr="00EC21BD" w14:paraId="28F8AEB5" w14:textId="77777777" w:rsidTr="003B06AA">
        <w:trPr>
          <w:trHeight w:val="1701"/>
          <w:jc w:val="center"/>
        </w:trPr>
        <w:tc>
          <w:tcPr>
            <w:tcW w:w="0" w:type="auto"/>
          </w:tcPr>
          <w:p w14:paraId="652A9263" w14:textId="203CA0CC"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b/>
                <w:bCs/>
                <w:color w:val="000000"/>
                <w:sz w:val="18"/>
                <w:szCs w:val="18"/>
              </w:rPr>
              <w:t>Hawton, 2003</w:t>
            </w:r>
            <w:r w:rsidRPr="00EC21BD">
              <w:rPr>
                <w:color w:val="000000"/>
                <w:sz w:val="18"/>
                <w:szCs w:val="18"/>
              </w:rPr>
              <w:t xml:space="preserve"> Deliberate self-harm in Oxford, 1990-2000: a time of change in patient characteristics</w:t>
            </w:r>
          </w:p>
        </w:tc>
        <w:tc>
          <w:tcPr>
            <w:tcW w:w="1459" w:type="dxa"/>
          </w:tcPr>
          <w:p w14:paraId="2D3EBDC7"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England-Oxford</w:t>
            </w:r>
          </w:p>
        </w:tc>
        <w:tc>
          <w:tcPr>
            <w:tcW w:w="1459" w:type="dxa"/>
          </w:tcPr>
          <w:p w14:paraId="5B033EA7"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Retrospective observational study</w:t>
            </w:r>
          </w:p>
        </w:tc>
        <w:tc>
          <w:tcPr>
            <w:tcW w:w="0" w:type="auto"/>
          </w:tcPr>
          <w:p w14:paraId="268771D3"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Young </w:t>
            </w:r>
            <w:r>
              <w:rPr>
                <w:color w:val="000000"/>
                <w:sz w:val="18"/>
                <w:szCs w:val="18"/>
              </w:rPr>
              <w:t>adults;</w:t>
            </w:r>
            <w:r w:rsidRPr="00EC21BD">
              <w:rPr>
                <w:color w:val="000000"/>
                <w:sz w:val="18"/>
                <w:szCs w:val="18"/>
              </w:rPr>
              <w:t xml:space="preserve"> Adults</w:t>
            </w:r>
            <w:r>
              <w:rPr>
                <w:color w:val="000000"/>
                <w:sz w:val="18"/>
                <w:szCs w:val="18"/>
              </w:rPr>
              <w:t xml:space="preserve">; </w:t>
            </w:r>
            <w:r w:rsidRPr="00EC21BD">
              <w:rPr>
                <w:color w:val="000000"/>
                <w:sz w:val="18"/>
                <w:szCs w:val="18"/>
              </w:rPr>
              <w:t>Older adults</w:t>
            </w:r>
            <w:r w:rsidRPr="00EC21BD">
              <w:rPr>
                <w:color w:val="000000"/>
                <w:sz w:val="18"/>
                <w:szCs w:val="18"/>
              </w:rPr>
              <w:br/>
            </w:r>
            <w:r w:rsidRPr="00EC21BD">
              <w:rPr>
                <w:color w:val="000000"/>
                <w:sz w:val="18"/>
                <w:szCs w:val="18"/>
              </w:rPr>
              <w:br/>
            </w:r>
          </w:p>
        </w:tc>
        <w:tc>
          <w:tcPr>
            <w:tcW w:w="0" w:type="auto"/>
          </w:tcPr>
          <w:p w14:paraId="3526675F" w14:textId="04B522B2"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1998–2000; ~1100 individuals/year</w:t>
            </w:r>
            <w:r w:rsidRPr="00EC21BD">
              <w:rPr>
                <w:color w:val="000000"/>
                <w:sz w:val="18"/>
                <w:szCs w:val="18"/>
              </w:rPr>
              <w:br/>
            </w:r>
            <w:r w:rsidRPr="00EC21BD">
              <w:rPr>
                <w:color w:val="000000"/>
                <w:sz w:val="18"/>
                <w:szCs w:val="18"/>
              </w:rPr>
              <w:br/>
            </w:r>
          </w:p>
        </w:tc>
        <w:tc>
          <w:tcPr>
            <w:tcW w:w="0" w:type="auto"/>
          </w:tcPr>
          <w:p w14:paraId="1D587870" w14:textId="77777777" w:rsidR="003B06AA" w:rsidRPr="00EC21BD" w:rsidRDefault="003B06AA" w:rsidP="00DE44B4">
            <w:pPr>
              <w:spacing w:after="0" w:line="240" w:lineRule="auto"/>
              <w:rPr>
                <w:color w:val="000000"/>
                <w:sz w:val="18"/>
                <w:szCs w:val="18"/>
              </w:rPr>
            </w:pPr>
            <w:r w:rsidRPr="00EC21BD">
              <w:rPr>
                <w:color w:val="000000"/>
                <w:sz w:val="18"/>
                <w:szCs w:val="18"/>
              </w:rPr>
              <w:t xml:space="preserve">•1998: ~45% of </w:t>
            </w:r>
            <w:proofErr w:type="gramStart"/>
            <w:r w:rsidRPr="00EC21BD">
              <w:rPr>
                <w:color w:val="000000"/>
                <w:sz w:val="18"/>
                <w:szCs w:val="18"/>
              </w:rPr>
              <w:t>overdoses;</w:t>
            </w:r>
            <w:proofErr w:type="gramEnd"/>
            <w:r w:rsidRPr="00EC21BD">
              <w:rPr>
                <w:color w:val="000000"/>
                <w:sz w:val="18"/>
                <w:szCs w:val="18"/>
              </w:rPr>
              <w:t xml:space="preserve"> </w:t>
            </w:r>
          </w:p>
          <w:p w14:paraId="66111AC1" w14:textId="77777777" w:rsidR="003B06AA" w:rsidRPr="00EC21BD" w:rsidRDefault="003B06AA" w:rsidP="00DE44B4">
            <w:pPr>
              <w:spacing w:after="0" w:line="240" w:lineRule="auto"/>
              <w:rPr>
                <w:color w:val="000000"/>
                <w:sz w:val="18"/>
                <w:szCs w:val="18"/>
              </w:rPr>
            </w:pPr>
            <w:r w:rsidRPr="00EC21BD">
              <w:rPr>
                <w:color w:val="000000"/>
                <w:sz w:val="18"/>
                <w:szCs w:val="18"/>
              </w:rPr>
              <w:t>•1999: ~43</w:t>
            </w:r>
            <w:proofErr w:type="gramStart"/>
            <w:r w:rsidRPr="00EC21BD">
              <w:rPr>
                <w:color w:val="000000"/>
                <w:sz w:val="18"/>
                <w:szCs w:val="18"/>
              </w:rPr>
              <w:t>%;</w:t>
            </w:r>
            <w:proofErr w:type="gramEnd"/>
            <w:r w:rsidRPr="00EC21BD">
              <w:rPr>
                <w:color w:val="000000"/>
                <w:sz w:val="18"/>
                <w:szCs w:val="18"/>
              </w:rPr>
              <w:t xml:space="preserve"> </w:t>
            </w:r>
          </w:p>
          <w:p w14:paraId="393C558D" w14:textId="77777777" w:rsidR="003B06AA" w:rsidRPr="00EC21BD" w:rsidRDefault="003B06AA" w:rsidP="00DE44B4">
            <w:pPr>
              <w:spacing w:after="0" w:line="240" w:lineRule="auto"/>
              <w:rPr>
                <w:color w:val="000000"/>
                <w:sz w:val="18"/>
                <w:szCs w:val="18"/>
              </w:rPr>
            </w:pPr>
            <w:r w:rsidRPr="00EC21BD">
              <w:rPr>
                <w:color w:val="000000"/>
                <w:sz w:val="18"/>
                <w:szCs w:val="18"/>
              </w:rPr>
              <w:t>•2000: ~45%</w:t>
            </w:r>
          </w:p>
        </w:tc>
        <w:tc>
          <w:tcPr>
            <w:tcW w:w="0" w:type="auto"/>
          </w:tcPr>
          <w:p w14:paraId="5AAACA3A"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Not extractable for POD (overall</w:t>
            </w:r>
            <w:r>
              <w:rPr>
                <w:color w:val="000000"/>
                <w:sz w:val="18"/>
                <w:szCs w:val="18"/>
              </w:rPr>
              <w:t xml:space="preserve">, </w:t>
            </w:r>
            <w:r w:rsidRPr="00EC21BD">
              <w:rPr>
                <w:color w:val="000000"/>
                <w:sz w:val="18"/>
                <w:szCs w:val="18"/>
              </w:rPr>
              <w:t>higher in females)</w:t>
            </w:r>
          </w:p>
        </w:tc>
        <w:tc>
          <w:tcPr>
            <w:tcW w:w="0" w:type="auto"/>
          </w:tcPr>
          <w:p w14:paraId="651D0243" w14:textId="42132DEB"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Not reported for POD (overall </w:t>
            </w:r>
            <w:proofErr w:type="spellStart"/>
            <w:r w:rsidRPr="00EC21BD">
              <w:rPr>
                <w:color w:val="000000"/>
                <w:sz w:val="18"/>
                <w:szCs w:val="18"/>
              </w:rPr>
              <w:t>DSH</w:t>
            </w:r>
            <w:r w:rsidR="00BA1FB3" w:rsidRPr="00BA1FB3">
              <w:rPr>
                <w:color w:val="000000"/>
                <w:sz w:val="18"/>
                <w:szCs w:val="18"/>
                <w:vertAlign w:val="superscript"/>
              </w:rPr>
              <w:t>k</w:t>
            </w:r>
            <w:proofErr w:type="spellEnd"/>
            <w:r w:rsidRPr="00BA1FB3">
              <w:rPr>
                <w:color w:val="000000"/>
                <w:sz w:val="18"/>
                <w:szCs w:val="18"/>
                <w:vertAlign w:val="superscript"/>
              </w:rPr>
              <w:t xml:space="preserve"> </w:t>
            </w:r>
            <w:r w:rsidRPr="00EC21BD">
              <w:rPr>
                <w:color w:val="000000"/>
                <w:sz w:val="18"/>
                <w:szCs w:val="18"/>
              </w:rPr>
              <w:t>higher in social classes IV–</w:t>
            </w:r>
            <w:proofErr w:type="spellStart"/>
            <w:r w:rsidRPr="00EC21BD">
              <w:rPr>
                <w:color w:val="000000"/>
                <w:sz w:val="18"/>
                <w:szCs w:val="18"/>
              </w:rPr>
              <w:t>V</w:t>
            </w:r>
            <w:r w:rsidR="002D121E" w:rsidRPr="002D121E">
              <w:rPr>
                <w:color w:val="000000"/>
                <w:sz w:val="18"/>
                <w:szCs w:val="18"/>
                <w:vertAlign w:val="superscript"/>
              </w:rPr>
              <w:t>l</w:t>
            </w:r>
            <w:proofErr w:type="spellEnd"/>
            <w:r w:rsidRPr="00EC21BD">
              <w:rPr>
                <w:color w:val="000000"/>
                <w:sz w:val="18"/>
                <w:szCs w:val="18"/>
              </w:rPr>
              <w:t>; unemployment associated)</w:t>
            </w:r>
          </w:p>
        </w:tc>
        <w:tc>
          <w:tcPr>
            <w:tcW w:w="1266" w:type="dxa"/>
          </w:tcPr>
          <w:p w14:paraId="24ECB376"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1853" w:type="dxa"/>
          </w:tcPr>
          <w:p w14:paraId="27AD77A8" w14:textId="77777777" w:rsidR="003B06AA" w:rsidRPr="00EC21BD" w:rsidRDefault="003B06AA" w:rsidP="00DE44B4">
            <w:pPr>
              <w:spacing w:after="0" w:line="240" w:lineRule="auto"/>
              <w:rPr>
                <w:color w:val="000000"/>
                <w:sz w:val="18"/>
                <w:szCs w:val="18"/>
              </w:rPr>
            </w:pPr>
            <w:r w:rsidRPr="00EC21BD">
              <w:rPr>
                <w:b/>
                <w:bCs/>
                <w:color w:val="000000"/>
                <w:sz w:val="18"/>
                <w:szCs w:val="18"/>
              </w:rPr>
              <w:t xml:space="preserve">POD-specific: </w:t>
            </w:r>
            <w:r w:rsidRPr="00EC21BD">
              <w:rPr>
                <w:color w:val="000000"/>
                <w:sz w:val="18"/>
                <w:szCs w:val="18"/>
              </w:rPr>
              <w:t>self-poisoning</w:t>
            </w:r>
          </w:p>
          <w:p w14:paraId="44D42DF0" w14:textId="77777777" w:rsidR="003B06AA" w:rsidRDefault="003B06AA" w:rsidP="00DE44B4">
            <w:pPr>
              <w:spacing w:after="0" w:line="240" w:lineRule="auto"/>
              <w:rPr>
                <w:color w:val="000000"/>
                <w:sz w:val="18"/>
                <w:szCs w:val="18"/>
              </w:rPr>
            </w:pPr>
            <w:r w:rsidRPr="00EC21BD">
              <w:rPr>
                <w:b/>
                <w:bCs/>
                <w:color w:val="000000"/>
                <w:sz w:val="18"/>
                <w:szCs w:val="18"/>
              </w:rPr>
              <w:t xml:space="preserve">General self-harm:  </w:t>
            </w:r>
            <w:r w:rsidRPr="00EC21BD">
              <w:rPr>
                <w:color w:val="000000"/>
                <w:sz w:val="18"/>
                <w:szCs w:val="18"/>
              </w:rPr>
              <w:t>•suicide</w:t>
            </w:r>
          </w:p>
          <w:p w14:paraId="1AF33C16" w14:textId="77777777" w:rsidR="003B06AA" w:rsidRDefault="003B06AA" w:rsidP="00DE44B4">
            <w:pPr>
              <w:spacing w:after="0" w:line="240" w:lineRule="auto"/>
              <w:rPr>
                <w:color w:val="000000"/>
                <w:sz w:val="18"/>
                <w:szCs w:val="18"/>
              </w:rPr>
            </w:pPr>
            <w:r w:rsidRPr="00EC21BD">
              <w:rPr>
                <w:color w:val="000000"/>
                <w:sz w:val="18"/>
                <w:szCs w:val="18"/>
              </w:rPr>
              <w:t>•relationship difficulties (females)</w:t>
            </w:r>
          </w:p>
          <w:p w14:paraId="0054E10D" w14:textId="77777777" w:rsidR="003B06AA" w:rsidRDefault="003B06AA" w:rsidP="00DE44B4">
            <w:pPr>
              <w:spacing w:after="0" w:line="240" w:lineRule="auto"/>
              <w:rPr>
                <w:color w:val="000000"/>
                <w:sz w:val="18"/>
                <w:szCs w:val="18"/>
              </w:rPr>
            </w:pPr>
            <w:r w:rsidRPr="00EC21BD">
              <w:rPr>
                <w:color w:val="000000"/>
                <w:sz w:val="18"/>
                <w:szCs w:val="18"/>
              </w:rPr>
              <w:t>•family conflict (females)</w:t>
            </w:r>
          </w:p>
          <w:p w14:paraId="534A6705" w14:textId="77777777" w:rsidR="003B06AA" w:rsidRDefault="003B06AA" w:rsidP="00DE44B4">
            <w:pPr>
              <w:spacing w:after="0" w:line="240" w:lineRule="auto"/>
              <w:rPr>
                <w:color w:val="000000"/>
                <w:sz w:val="18"/>
                <w:szCs w:val="18"/>
              </w:rPr>
            </w:pPr>
            <w:r w:rsidRPr="00EC21BD">
              <w:rPr>
                <w:color w:val="000000"/>
                <w:sz w:val="18"/>
                <w:szCs w:val="18"/>
              </w:rPr>
              <w:t>•employment problems (males)</w:t>
            </w:r>
          </w:p>
          <w:p w14:paraId="685F069A" w14:textId="77777777" w:rsidR="003B06AA" w:rsidRDefault="003B06AA" w:rsidP="00DE44B4">
            <w:pPr>
              <w:spacing w:after="0" w:line="240" w:lineRule="auto"/>
              <w:rPr>
                <w:color w:val="000000"/>
                <w:sz w:val="18"/>
                <w:szCs w:val="18"/>
              </w:rPr>
            </w:pPr>
            <w:r w:rsidRPr="00EC21BD">
              <w:rPr>
                <w:color w:val="000000"/>
                <w:sz w:val="18"/>
                <w:szCs w:val="18"/>
              </w:rPr>
              <w:t>•financial problems (males)</w:t>
            </w:r>
          </w:p>
          <w:p w14:paraId="208D3DBB" w14:textId="77777777" w:rsidR="003B06AA" w:rsidRDefault="003B06AA" w:rsidP="00DE44B4">
            <w:pPr>
              <w:spacing w:after="0" w:line="240" w:lineRule="auto"/>
              <w:rPr>
                <w:color w:val="000000"/>
                <w:sz w:val="18"/>
                <w:szCs w:val="18"/>
              </w:rPr>
            </w:pPr>
            <w:r w:rsidRPr="00EC21BD">
              <w:rPr>
                <w:color w:val="000000"/>
                <w:sz w:val="18"/>
                <w:szCs w:val="18"/>
              </w:rPr>
              <w:t>•alcohol involvement (males)</w:t>
            </w:r>
          </w:p>
          <w:p w14:paraId="6585E51B" w14:textId="77777777" w:rsidR="003B06AA" w:rsidRDefault="003B06AA" w:rsidP="00DE44B4">
            <w:pPr>
              <w:spacing w:after="0" w:line="240" w:lineRule="auto"/>
              <w:rPr>
                <w:color w:val="000000"/>
                <w:sz w:val="18"/>
                <w:szCs w:val="18"/>
              </w:rPr>
            </w:pPr>
            <w:r w:rsidRPr="00EC21BD">
              <w:rPr>
                <w:color w:val="000000"/>
                <w:sz w:val="18"/>
                <w:szCs w:val="18"/>
              </w:rPr>
              <w:t>•violence towards others (males)</w:t>
            </w:r>
          </w:p>
          <w:p w14:paraId="5CB32329" w14:textId="77777777" w:rsidR="003B06AA" w:rsidRPr="00EC21BD" w:rsidRDefault="003B06AA" w:rsidP="00DE44B4">
            <w:pPr>
              <w:spacing w:after="0" w:line="240" w:lineRule="auto"/>
              <w:rPr>
                <w:b/>
                <w:bCs/>
                <w:color w:val="000000"/>
                <w:sz w:val="18"/>
                <w:szCs w:val="18"/>
              </w:rPr>
            </w:pPr>
            <w:r w:rsidRPr="00EC21BD">
              <w:rPr>
                <w:color w:val="000000"/>
                <w:sz w:val="18"/>
                <w:szCs w:val="18"/>
              </w:rPr>
              <w:t>•victim of violence (males)</w:t>
            </w:r>
          </w:p>
          <w:p w14:paraId="5F58BA61" w14:textId="77777777" w:rsidR="003B06AA" w:rsidRPr="00EC21BD" w:rsidRDefault="003B06AA" w:rsidP="00DE44B4">
            <w:pPr>
              <w:spacing w:after="0" w:line="240" w:lineRule="auto"/>
              <w:rPr>
                <w:color w:val="000000"/>
                <w:sz w:val="18"/>
                <w:szCs w:val="18"/>
              </w:rPr>
            </w:pPr>
          </w:p>
        </w:tc>
        <w:tc>
          <w:tcPr>
            <w:tcW w:w="1599" w:type="dxa"/>
          </w:tcPr>
          <w:p w14:paraId="69F2F6F3"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Alcohol (males); </w:t>
            </w:r>
            <w:r>
              <w:rPr>
                <w:color w:val="000000"/>
                <w:sz w:val="18"/>
                <w:szCs w:val="18"/>
              </w:rPr>
              <w:t xml:space="preserve">illicit </w:t>
            </w:r>
            <w:r w:rsidRPr="00EC21BD">
              <w:rPr>
                <w:color w:val="000000"/>
                <w:sz w:val="18"/>
                <w:szCs w:val="18"/>
              </w:rPr>
              <w:t>drug</w:t>
            </w:r>
            <w:r>
              <w:rPr>
                <w:color w:val="000000"/>
                <w:sz w:val="18"/>
                <w:szCs w:val="18"/>
              </w:rPr>
              <w:t xml:space="preserve">s </w:t>
            </w:r>
            <w:r w:rsidRPr="00EC21BD">
              <w:rPr>
                <w:color w:val="000000"/>
                <w:sz w:val="18"/>
                <w:szCs w:val="18"/>
              </w:rPr>
              <w:t>(males)</w:t>
            </w:r>
          </w:p>
        </w:tc>
      </w:tr>
      <w:tr w:rsidR="003B06AA" w:rsidRPr="00EC21BD" w14:paraId="26C393AB" w14:textId="77777777" w:rsidTr="003B06AA">
        <w:trPr>
          <w:cantSplit/>
          <w:trHeight w:val="1077"/>
          <w:jc w:val="center"/>
        </w:trPr>
        <w:tc>
          <w:tcPr>
            <w:tcW w:w="0" w:type="auto"/>
          </w:tcPr>
          <w:p w14:paraId="675314D7" w14:textId="77777777" w:rsidR="003B06AA" w:rsidRPr="00EC21BD" w:rsidRDefault="003B06AA" w:rsidP="00DE44B4">
            <w:pPr>
              <w:spacing w:after="0" w:line="240" w:lineRule="auto"/>
              <w:rPr>
                <w:color w:val="000000"/>
                <w:sz w:val="18"/>
                <w:szCs w:val="18"/>
              </w:rPr>
            </w:pPr>
            <w:r w:rsidRPr="00EC21BD">
              <w:rPr>
                <w:b/>
                <w:bCs/>
                <w:color w:val="000000"/>
                <w:sz w:val="18"/>
                <w:szCs w:val="18"/>
              </w:rPr>
              <w:lastRenderedPageBreak/>
              <w:t>Hawton, 2003</w:t>
            </w:r>
          </w:p>
          <w:p w14:paraId="79537A0F" w14:textId="50F17159"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Deliberate self-harm in adolescents: a study of characteristics and trends in Oxford, 1990-2000</w:t>
            </w:r>
          </w:p>
        </w:tc>
        <w:tc>
          <w:tcPr>
            <w:tcW w:w="1459" w:type="dxa"/>
          </w:tcPr>
          <w:p w14:paraId="127E7841"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England-Oxford</w:t>
            </w:r>
          </w:p>
        </w:tc>
        <w:tc>
          <w:tcPr>
            <w:tcW w:w="1459" w:type="dxa"/>
          </w:tcPr>
          <w:p w14:paraId="18D8112F"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Retrospective observational study</w:t>
            </w:r>
          </w:p>
        </w:tc>
        <w:tc>
          <w:tcPr>
            <w:tcW w:w="0" w:type="auto"/>
          </w:tcPr>
          <w:p w14:paraId="3417FB10"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Children</w:t>
            </w:r>
            <w:r>
              <w:rPr>
                <w:color w:val="000000"/>
                <w:sz w:val="18"/>
                <w:szCs w:val="18"/>
              </w:rPr>
              <w:t>;</w:t>
            </w:r>
            <w:r w:rsidRPr="00EC21BD">
              <w:rPr>
                <w:color w:val="000000"/>
                <w:sz w:val="18"/>
                <w:szCs w:val="18"/>
              </w:rPr>
              <w:t xml:space="preserve"> Young </w:t>
            </w:r>
            <w:r>
              <w:rPr>
                <w:color w:val="000000"/>
                <w:sz w:val="18"/>
                <w:szCs w:val="18"/>
              </w:rPr>
              <w:t>adults</w:t>
            </w:r>
            <w:r w:rsidRPr="00EC21BD">
              <w:rPr>
                <w:color w:val="000000"/>
                <w:sz w:val="18"/>
                <w:szCs w:val="18"/>
              </w:rPr>
              <w:br/>
            </w:r>
            <w:r w:rsidRPr="00EC21BD">
              <w:rPr>
                <w:color w:val="000000"/>
                <w:sz w:val="18"/>
                <w:szCs w:val="18"/>
              </w:rPr>
              <w:br/>
            </w:r>
          </w:p>
        </w:tc>
        <w:tc>
          <w:tcPr>
            <w:tcW w:w="0" w:type="auto"/>
          </w:tcPr>
          <w:p w14:paraId="17075720"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1998–2000; 514 individuals (622 episodes)</w:t>
            </w:r>
            <w:r w:rsidRPr="00EC21BD">
              <w:rPr>
                <w:color w:val="000000"/>
                <w:sz w:val="18"/>
                <w:szCs w:val="18"/>
              </w:rPr>
              <w:br/>
              <w:t xml:space="preserve"> </w:t>
            </w:r>
            <w:r w:rsidRPr="00EC21BD">
              <w:rPr>
                <w:color w:val="000000"/>
                <w:sz w:val="18"/>
                <w:szCs w:val="18"/>
              </w:rPr>
              <w:br/>
            </w:r>
          </w:p>
        </w:tc>
        <w:tc>
          <w:tcPr>
            <w:tcW w:w="0" w:type="auto"/>
          </w:tcPr>
          <w:p w14:paraId="0FA636F4" w14:textId="77777777" w:rsidR="003B06AA" w:rsidRPr="00EC21BD" w:rsidRDefault="003B06AA" w:rsidP="00DE44B4">
            <w:pPr>
              <w:spacing w:after="0" w:line="240" w:lineRule="auto"/>
              <w:rPr>
                <w:color w:val="000000"/>
                <w:sz w:val="18"/>
                <w:szCs w:val="18"/>
              </w:rPr>
            </w:pPr>
            <w:r w:rsidRPr="00EC21BD">
              <w:rPr>
                <w:color w:val="000000"/>
                <w:sz w:val="18"/>
                <w:szCs w:val="18"/>
              </w:rPr>
              <w:t>•1998: ~61</w:t>
            </w:r>
            <w:proofErr w:type="gramStart"/>
            <w:r w:rsidRPr="00EC21BD">
              <w:rPr>
                <w:color w:val="000000"/>
                <w:sz w:val="18"/>
                <w:szCs w:val="18"/>
              </w:rPr>
              <w:t>%;</w:t>
            </w:r>
            <w:proofErr w:type="gramEnd"/>
            <w:r w:rsidRPr="00EC21BD">
              <w:rPr>
                <w:color w:val="000000"/>
                <w:sz w:val="18"/>
                <w:szCs w:val="18"/>
              </w:rPr>
              <w:t xml:space="preserve"> </w:t>
            </w:r>
          </w:p>
          <w:p w14:paraId="7696D753" w14:textId="77777777" w:rsidR="003B06AA" w:rsidRPr="00EC21BD" w:rsidRDefault="003B06AA" w:rsidP="00DE44B4">
            <w:pPr>
              <w:spacing w:after="0" w:line="240" w:lineRule="auto"/>
              <w:rPr>
                <w:color w:val="000000"/>
                <w:sz w:val="18"/>
                <w:szCs w:val="18"/>
              </w:rPr>
            </w:pPr>
            <w:r w:rsidRPr="00EC21BD">
              <w:rPr>
                <w:color w:val="000000"/>
                <w:sz w:val="18"/>
                <w:szCs w:val="18"/>
              </w:rPr>
              <w:t>•1999: ~58</w:t>
            </w:r>
            <w:proofErr w:type="gramStart"/>
            <w:r w:rsidRPr="00EC21BD">
              <w:rPr>
                <w:color w:val="000000"/>
                <w:sz w:val="18"/>
                <w:szCs w:val="18"/>
              </w:rPr>
              <w:t>%;</w:t>
            </w:r>
            <w:proofErr w:type="gramEnd"/>
            <w:r w:rsidRPr="00EC21BD">
              <w:rPr>
                <w:color w:val="000000"/>
                <w:sz w:val="18"/>
                <w:szCs w:val="18"/>
              </w:rPr>
              <w:t xml:space="preserve"> </w:t>
            </w:r>
          </w:p>
          <w:p w14:paraId="13CF7D32" w14:textId="77777777" w:rsidR="003B06AA" w:rsidRPr="00EC21BD" w:rsidRDefault="003B06AA" w:rsidP="00DE44B4">
            <w:pPr>
              <w:spacing w:after="0" w:line="240" w:lineRule="auto"/>
              <w:rPr>
                <w:color w:val="000000"/>
                <w:sz w:val="18"/>
                <w:szCs w:val="18"/>
              </w:rPr>
            </w:pPr>
            <w:r w:rsidRPr="00EC21BD">
              <w:rPr>
                <w:color w:val="000000"/>
                <w:sz w:val="18"/>
                <w:szCs w:val="18"/>
              </w:rPr>
              <w:t xml:space="preserve">•2000: ~65% </w:t>
            </w:r>
          </w:p>
          <w:p w14:paraId="1A02AC53"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(of all overdoses)</w:t>
            </w:r>
          </w:p>
        </w:tc>
        <w:tc>
          <w:tcPr>
            <w:tcW w:w="0" w:type="auto"/>
          </w:tcPr>
          <w:p w14:paraId="7399B8BA"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Both sexes involved (no% reported)</w:t>
            </w:r>
          </w:p>
        </w:tc>
        <w:tc>
          <w:tcPr>
            <w:tcW w:w="0" w:type="auto"/>
          </w:tcPr>
          <w:p w14:paraId="6B50A9D5"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1266" w:type="dxa"/>
          </w:tcPr>
          <w:p w14:paraId="109050BC"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1853" w:type="dxa"/>
          </w:tcPr>
          <w:p w14:paraId="0B75F59F" w14:textId="77777777" w:rsidR="003B06AA" w:rsidRDefault="003B06AA" w:rsidP="00DE44B4">
            <w:pPr>
              <w:spacing w:after="0" w:line="240" w:lineRule="auto"/>
              <w:rPr>
                <w:b/>
                <w:bCs/>
                <w:color w:val="000000"/>
                <w:sz w:val="18"/>
                <w:szCs w:val="18"/>
              </w:rPr>
            </w:pPr>
            <w:r w:rsidRPr="00EC21BD">
              <w:rPr>
                <w:b/>
                <w:bCs/>
                <w:color w:val="000000"/>
                <w:sz w:val="18"/>
                <w:szCs w:val="18"/>
              </w:rPr>
              <w:t xml:space="preserve">POD-specific: </w:t>
            </w:r>
          </w:p>
          <w:p w14:paraId="475C8684" w14:textId="77777777" w:rsidR="003B06AA" w:rsidRPr="00EC21BD" w:rsidRDefault="003B06AA" w:rsidP="00DE44B4">
            <w:pPr>
              <w:spacing w:after="0" w:line="240" w:lineRule="auto"/>
              <w:rPr>
                <w:b/>
                <w:bCs/>
                <w:color w:val="000000"/>
                <w:sz w:val="18"/>
                <w:szCs w:val="18"/>
              </w:rPr>
            </w:pPr>
            <w:r w:rsidRPr="00EC21BD">
              <w:rPr>
                <w:color w:val="000000"/>
                <w:sz w:val="18"/>
                <w:szCs w:val="18"/>
              </w:rPr>
              <w:t>self-poisoning</w:t>
            </w:r>
          </w:p>
          <w:p w14:paraId="43A140CE"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p>
          <w:p w14:paraId="1C400A49" w14:textId="77777777" w:rsidR="003B06AA" w:rsidRDefault="003B06AA" w:rsidP="00DE44B4">
            <w:pPr>
              <w:spacing w:after="0" w:line="240" w:lineRule="auto"/>
              <w:rPr>
                <w:color w:val="000000"/>
                <w:sz w:val="18"/>
                <w:szCs w:val="18"/>
              </w:rPr>
            </w:pPr>
            <w:r w:rsidRPr="00EC21BD">
              <w:rPr>
                <w:color w:val="000000"/>
                <w:sz w:val="18"/>
                <w:szCs w:val="18"/>
              </w:rPr>
              <w:t>•seasonal variation •relationship/partner problems</w:t>
            </w:r>
          </w:p>
          <w:p w14:paraId="5FD75820" w14:textId="77777777" w:rsidR="003B06AA" w:rsidRDefault="003B06AA" w:rsidP="00DE44B4">
            <w:pPr>
              <w:spacing w:after="0" w:line="240" w:lineRule="auto"/>
              <w:rPr>
                <w:color w:val="000000"/>
                <w:sz w:val="18"/>
                <w:szCs w:val="18"/>
              </w:rPr>
            </w:pPr>
            <w:r w:rsidRPr="00EC21BD">
              <w:rPr>
                <w:color w:val="000000"/>
                <w:sz w:val="18"/>
                <w:szCs w:val="18"/>
              </w:rPr>
              <w:t>•higher Monday presentations</w:t>
            </w:r>
          </w:p>
          <w:p w14:paraId="635CBA03" w14:textId="77777777" w:rsidR="003B06AA" w:rsidRDefault="003B06AA" w:rsidP="00DE44B4">
            <w:pPr>
              <w:spacing w:after="0" w:line="240" w:lineRule="auto"/>
              <w:rPr>
                <w:color w:val="000000"/>
                <w:sz w:val="18"/>
                <w:szCs w:val="18"/>
              </w:rPr>
            </w:pPr>
            <w:r w:rsidRPr="00EC21BD">
              <w:rPr>
                <w:color w:val="000000"/>
                <w:sz w:val="18"/>
                <w:szCs w:val="18"/>
              </w:rPr>
              <w:t>•lower Saturday presentations</w:t>
            </w:r>
          </w:p>
          <w:p w14:paraId="7758DEA0" w14:textId="77777777" w:rsidR="003B06AA" w:rsidRDefault="003B06AA" w:rsidP="00DE44B4">
            <w:pPr>
              <w:spacing w:after="0" w:line="240" w:lineRule="auto"/>
              <w:rPr>
                <w:color w:val="000000"/>
                <w:sz w:val="18"/>
                <w:szCs w:val="18"/>
              </w:rPr>
            </w:pPr>
            <w:r w:rsidRPr="00EC21BD">
              <w:rPr>
                <w:color w:val="000000"/>
                <w:sz w:val="18"/>
                <w:szCs w:val="18"/>
              </w:rPr>
              <w:t>•repetition of self-harm (females)</w:t>
            </w:r>
          </w:p>
          <w:p w14:paraId="2761A2A7" w14:textId="77777777" w:rsidR="003B06AA" w:rsidRDefault="003B06AA" w:rsidP="00DE44B4">
            <w:pPr>
              <w:spacing w:after="0" w:line="240" w:lineRule="auto"/>
              <w:rPr>
                <w:color w:val="000000"/>
                <w:sz w:val="18"/>
                <w:szCs w:val="18"/>
              </w:rPr>
            </w:pPr>
            <w:r w:rsidRPr="00EC21BD">
              <w:rPr>
                <w:color w:val="000000"/>
                <w:sz w:val="18"/>
                <w:szCs w:val="18"/>
              </w:rPr>
              <w:t>•family relationship problems (females)</w:t>
            </w:r>
          </w:p>
          <w:p w14:paraId="67A9A453" w14:textId="77777777" w:rsidR="003B06AA" w:rsidRDefault="003B06AA" w:rsidP="00DE44B4">
            <w:pPr>
              <w:spacing w:after="0" w:line="240" w:lineRule="auto"/>
              <w:rPr>
                <w:color w:val="000000"/>
                <w:sz w:val="18"/>
                <w:szCs w:val="18"/>
              </w:rPr>
            </w:pPr>
            <w:r w:rsidRPr="00EC21BD">
              <w:rPr>
                <w:color w:val="000000"/>
                <w:sz w:val="18"/>
                <w:szCs w:val="18"/>
              </w:rPr>
              <w:t>•friendship problems (females)</w:t>
            </w:r>
          </w:p>
          <w:p w14:paraId="7212052D" w14:textId="77777777" w:rsidR="003B06AA" w:rsidRDefault="003B06AA" w:rsidP="00DE44B4">
            <w:pPr>
              <w:spacing w:after="0" w:line="240" w:lineRule="auto"/>
              <w:rPr>
                <w:color w:val="000000"/>
                <w:sz w:val="18"/>
                <w:szCs w:val="18"/>
              </w:rPr>
            </w:pPr>
            <w:r w:rsidRPr="00EC21BD">
              <w:rPr>
                <w:color w:val="000000"/>
                <w:sz w:val="18"/>
                <w:szCs w:val="18"/>
              </w:rPr>
              <w:t>•bereavement/loss (females)</w:t>
            </w:r>
          </w:p>
          <w:p w14:paraId="385D874F" w14:textId="77777777" w:rsidR="003B06AA" w:rsidRDefault="003B06AA" w:rsidP="00DE44B4">
            <w:pPr>
              <w:spacing w:after="0" w:line="240" w:lineRule="auto"/>
              <w:rPr>
                <w:color w:val="000000"/>
                <w:sz w:val="18"/>
                <w:szCs w:val="18"/>
              </w:rPr>
            </w:pPr>
            <w:r w:rsidRPr="00EC21BD">
              <w:rPr>
                <w:color w:val="000000"/>
                <w:sz w:val="18"/>
                <w:szCs w:val="18"/>
              </w:rPr>
              <w:t>•violence (males)</w:t>
            </w:r>
          </w:p>
          <w:p w14:paraId="771CB431" w14:textId="77777777" w:rsidR="003B06AA" w:rsidRDefault="003B06AA" w:rsidP="00DE44B4">
            <w:pPr>
              <w:spacing w:after="0" w:line="240" w:lineRule="auto"/>
              <w:rPr>
                <w:color w:val="000000"/>
                <w:sz w:val="18"/>
                <w:szCs w:val="18"/>
              </w:rPr>
            </w:pPr>
            <w:r w:rsidRPr="00EC21BD">
              <w:rPr>
                <w:color w:val="000000"/>
                <w:sz w:val="18"/>
                <w:szCs w:val="18"/>
              </w:rPr>
              <w:t>•victim of violence (males)</w:t>
            </w:r>
          </w:p>
          <w:p w14:paraId="2339BB7B" w14:textId="77777777" w:rsidR="003B06AA" w:rsidRDefault="003B06AA" w:rsidP="00DE44B4">
            <w:pPr>
              <w:spacing w:after="0" w:line="240" w:lineRule="auto"/>
              <w:rPr>
                <w:color w:val="000000"/>
                <w:sz w:val="18"/>
                <w:szCs w:val="18"/>
              </w:rPr>
            </w:pPr>
            <w:r w:rsidRPr="00EC21BD">
              <w:rPr>
                <w:color w:val="000000"/>
                <w:sz w:val="18"/>
                <w:szCs w:val="18"/>
              </w:rPr>
              <w:t>•study/employment stress (males)</w:t>
            </w:r>
          </w:p>
          <w:p w14:paraId="78DA24F0" w14:textId="77777777" w:rsidR="003B06AA" w:rsidRDefault="003B06AA" w:rsidP="00DE44B4">
            <w:pPr>
              <w:spacing w:after="0" w:line="240" w:lineRule="auto"/>
              <w:rPr>
                <w:color w:val="000000"/>
                <w:sz w:val="18"/>
                <w:szCs w:val="18"/>
              </w:rPr>
            </w:pPr>
            <w:r w:rsidRPr="00EC21BD">
              <w:rPr>
                <w:color w:val="000000"/>
                <w:sz w:val="18"/>
                <w:szCs w:val="18"/>
              </w:rPr>
              <w:t>•housing problems (males)</w:t>
            </w:r>
          </w:p>
          <w:p w14:paraId="63C8016C" w14:textId="77777777" w:rsidR="003B06AA" w:rsidRDefault="003B06AA" w:rsidP="00DE44B4">
            <w:pPr>
              <w:spacing w:after="0" w:line="240" w:lineRule="auto"/>
              <w:rPr>
                <w:color w:val="000000"/>
                <w:sz w:val="18"/>
                <w:szCs w:val="18"/>
              </w:rPr>
            </w:pPr>
            <w:r w:rsidRPr="00EC21BD">
              <w:rPr>
                <w:color w:val="000000"/>
                <w:sz w:val="18"/>
                <w:szCs w:val="18"/>
              </w:rPr>
              <w:t>•social isolation (males)</w:t>
            </w:r>
          </w:p>
          <w:p w14:paraId="0AEB7E5B" w14:textId="77777777" w:rsidR="003B06AA" w:rsidRPr="00EC21BD" w:rsidRDefault="003B06AA" w:rsidP="00DE44B4">
            <w:pPr>
              <w:spacing w:after="0" w:line="240" w:lineRule="auto"/>
              <w:rPr>
                <w:color w:val="000000"/>
                <w:sz w:val="18"/>
                <w:szCs w:val="18"/>
              </w:rPr>
            </w:pPr>
            <w:r w:rsidRPr="00EC21BD">
              <w:rPr>
                <w:color w:val="000000"/>
                <w:sz w:val="18"/>
                <w:szCs w:val="18"/>
              </w:rPr>
              <w:t>•financial problems (males)</w:t>
            </w:r>
          </w:p>
          <w:p w14:paraId="075B0EAD" w14:textId="77777777" w:rsidR="003B06AA" w:rsidRPr="00EC21BD" w:rsidRDefault="003B06AA" w:rsidP="00DE44B4">
            <w:pPr>
              <w:spacing w:after="0" w:line="240" w:lineRule="auto"/>
              <w:rPr>
                <w:color w:val="000000"/>
                <w:sz w:val="18"/>
                <w:szCs w:val="18"/>
              </w:rPr>
            </w:pPr>
          </w:p>
        </w:tc>
        <w:tc>
          <w:tcPr>
            <w:tcW w:w="1599" w:type="dxa"/>
          </w:tcPr>
          <w:p w14:paraId="4B4EBD5E"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Alcohol (males); </w:t>
            </w:r>
            <w:r>
              <w:rPr>
                <w:color w:val="000000"/>
                <w:sz w:val="18"/>
                <w:szCs w:val="18"/>
              </w:rPr>
              <w:t xml:space="preserve">illicit </w:t>
            </w:r>
            <w:r w:rsidRPr="00EC21BD">
              <w:rPr>
                <w:color w:val="000000"/>
                <w:sz w:val="18"/>
                <w:szCs w:val="18"/>
              </w:rPr>
              <w:t>drug</w:t>
            </w:r>
            <w:r>
              <w:rPr>
                <w:color w:val="000000"/>
                <w:sz w:val="18"/>
                <w:szCs w:val="18"/>
              </w:rPr>
              <w:t>s</w:t>
            </w:r>
            <w:r w:rsidRPr="00EC21BD">
              <w:rPr>
                <w:color w:val="000000"/>
                <w:sz w:val="18"/>
                <w:szCs w:val="18"/>
              </w:rPr>
              <w:t xml:space="preserve"> (males)</w:t>
            </w:r>
          </w:p>
        </w:tc>
      </w:tr>
      <w:tr w:rsidR="003B06AA" w:rsidRPr="00EC21BD" w14:paraId="4178A6A4" w14:textId="77777777" w:rsidTr="003B06AA">
        <w:trPr>
          <w:trHeight w:val="1531"/>
          <w:jc w:val="center"/>
        </w:trPr>
        <w:tc>
          <w:tcPr>
            <w:tcW w:w="0" w:type="auto"/>
          </w:tcPr>
          <w:p w14:paraId="3804DCC4" w14:textId="77777777" w:rsidR="003B06AA" w:rsidRPr="00EC21BD" w:rsidRDefault="003B06AA" w:rsidP="00DE44B4">
            <w:pPr>
              <w:spacing w:after="0" w:line="240" w:lineRule="auto"/>
              <w:rPr>
                <w:color w:val="000000"/>
                <w:sz w:val="18"/>
                <w:szCs w:val="18"/>
              </w:rPr>
            </w:pPr>
            <w:r w:rsidRPr="00EC21BD">
              <w:rPr>
                <w:b/>
                <w:bCs/>
                <w:color w:val="000000"/>
                <w:sz w:val="18"/>
                <w:szCs w:val="18"/>
              </w:rPr>
              <w:t>Hawton, 2004</w:t>
            </w:r>
          </w:p>
          <w:p w14:paraId="2D961648"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UK legislation on analgesic packs: Before and after study of long term effect on poisonings</w:t>
            </w:r>
            <w:r>
              <w:rPr>
                <w:color w:val="000000"/>
                <w:sz w:val="18"/>
                <w:szCs w:val="18"/>
              </w:rPr>
              <w:fldChar w:fldCharType="begin"/>
            </w:r>
            <w:r>
              <w:rPr>
                <w:color w:val="000000"/>
                <w:sz w:val="18"/>
                <w:szCs w:val="18"/>
              </w:rPr>
              <w:instrText xml:space="preserve"> ADDIN ZOTERO_ITEM CSL_CITATION {"citationID":"V9QzzEZq","properties":{"formattedCitation":"(24)","plainCitation":"(24)","noteIndex":0},"citationItems":[{"id":8169,"uris":["http://zotero.org/users/5777982/items/H7Y7KFHW"],"itemData":{"id":8169,"type":"article-journal","abstract":"OBJECTIVE: To evaluate the long term effect of legislation limiting the size of packs of analgesics sold over the counter.\nDESIGN: Before and after study.\nSETTING: Suicides in England and Wales, data from six liver units in England and Scotland and five general hospitals in England, and UK data on sales of analgesics, between September 1993 and September 2002.\nDATA SOURCES: Office for National Statistics; six liver units in England and Scotland; monitoring systems in general hospitals in Oxford, Manchester, and Derby; and Intercontinental Medical Statistics Health UK.\nMAIN OUTCOME MEASURES: Deaths by suicidal overdose with paracetamol, salicylates, or ibuprofen; numbers of patients admitted to liver units, listed for liver transplant, and undergoing transplantations for paracetamol induced hepatotoxicity; non-fatal self poisonings with analgesics and numbers of tablets taken; and sales figures for analgesics.\nRESULTS: Suicidal deaths from paracetamol and salicylates were reduced by 22% (95% confidence interval 11% to 32%) in the year after the change in legislation on 16 September 1998, and this reduction persisted in the next two years. Liver unit admissions and liver transplants for paracetamol induced hepatotoxicity were reduced by around 30% in the four years after the legislation. Numbers of paracetamol and salicylate tablets in non-fatal overdoses were reduced in the three years after the legislation. Large overdoses were reduced by 20% (9% to 29%) for paracetamol and by 39% (14% to 57%) for salicylates in the second and third years after the legislation. Ibuprofen overdoses increased after the legislation, but with little or no effect on deaths.\nCONCLUSION: Legislation restricting pack sizes of analgesics in the United Kingdom has been beneficial. A further reduction in pack sizes could prevent more deaths.","container-title":"BMJ (Clinical research ed.)","DOI":"10.1136/bmj.38253.572581.7C","ISSN":"1756-1833","issue":"7474","journalAbbreviation":"BMJ","language":"eng","note":"PMID: 15516343\nPMCID: PMC526120","page":"1076","source":"PubMed","title":"UK legislation on analgesic packs: before and after study of long term effect on poisonings","title-short":"UK legislation on analgesic packs","volume":"329","author":[{"family":"Hawton","given":"Keith"},{"family":"Simkin","given":"Sue"},{"family":"Deeks","given":"Jonathan"},{"family":"Cooper","given":"Jayne"},{"family":"Johnston","given":"Amy"},{"family":"Waters","given":"Keith"},{"family":"Arundel","given":"Morag"},{"family":"Bernal","given":"William"},{"family":"Gunson","given":"Bridget"},{"family":"Hudson","given":"Mark"},{"family":"Suri","given":"Deepak"},{"family":"Simpson","given":"Kenneth"}],"issued":{"date-parts":[["2004",11,6]]}}}],"schema":"https://github.com/citation-style-language/schema/raw/master/csl-citation.json"} </w:instrText>
            </w:r>
            <w:r>
              <w:rPr>
                <w:color w:val="000000"/>
                <w:sz w:val="18"/>
                <w:szCs w:val="18"/>
              </w:rPr>
              <w:fldChar w:fldCharType="separate"/>
            </w:r>
            <w:r w:rsidRPr="00AA46C2">
              <w:rPr>
                <w:rFonts w:ascii="Aptos" w:hAnsi="Aptos"/>
                <w:sz w:val="18"/>
              </w:rPr>
              <w:t>(24)</w:t>
            </w:r>
            <w:r>
              <w:rPr>
                <w:color w:val="000000"/>
                <w:sz w:val="18"/>
                <w:szCs w:val="18"/>
              </w:rPr>
              <w:fldChar w:fldCharType="end"/>
            </w:r>
          </w:p>
        </w:tc>
        <w:tc>
          <w:tcPr>
            <w:tcW w:w="1459" w:type="dxa"/>
          </w:tcPr>
          <w:p w14:paraId="71E1A224"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England and Scotland</w:t>
            </w:r>
          </w:p>
        </w:tc>
        <w:tc>
          <w:tcPr>
            <w:tcW w:w="1459" w:type="dxa"/>
          </w:tcPr>
          <w:p w14:paraId="7816450C"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Retrospective Observational Study</w:t>
            </w:r>
          </w:p>
        </w:tc>
        <w:tc>
          <w:tcPr>
            <w:tcW w:w="0" w:type="auto"/>
          </w:tcPr>
          <w:p w14:paraId="0963D4E0"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Young </w:t>
            </w:r>
            <w:r>
              <w:rPr>
                <w:color w:val="000000"/>
                <w:sz w:val="18"/>
                <w:szCs w:val="18"/>
              </w:rPr>
              <w:t>adults</w:t>
            </w:r>
          </w:p>
        </w:tc>
        <w:tc>
          <w:tcPr>
            <w:tcW w:w="0" w:type="auto"/>
          </w:tcPr>
          <w:p w14:paraId="55EA3E0F" w14:textId="3400BDBD"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1998–2001; ~13000 non-fatal self-poisonings</w:t>
            </w:r>
            <w:r w:rsidRPr="00EC21BD">
              <w:rPr>
                <w:color w:val="000000"/>
                <w:sz w:val="18"/>
                <w:szCs w:val="18"/>
              </w:rPr>
              <w:br/>
            </w:r>
          </w:p>
        </w:tc>
        <w:tc>
          <w:tcPr>
            <w:tcW w:w="0" w:type="auto"/>
          </w:tcPr>
          <w:p w14:paraId="165BB77E" w14:textId="77777777" w:rsidR="003B06AA" w:rsidRPr="00EC21BD" w:rsidRDefault="003B06AA" w:rsidP="00DE44B4">
            <w:pPr>
              <w:spacing w:after="0" w:line="240" w:lineRule="auto"/>
              <w:rPr>
                <w:color w:val="000000"/>
                <w:sz w:val="18"/>
                <w:szCs w:val="18"/>
              </w:rPr>
            </w:pPr>
            <w:proofErr w:type="gramStart"/>
            <w:r w:rsidRPr="00EC21BD">
              <w:rPr>
                <w:color w:val="000000"/>
                <w:sz w:val="18"/>
                <w:szCs w:val="18"/>
              </w:rPr>
              <w:t>1998-2001;</w:t>
            </w:r>
            <w:proofErr w:type="gramEnd"/>
          </w:p>
          <w:p w14:paraId="579B21C8" w14:textId="02C606BD"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6572 any paracetamol; 2162 paracetamol alone</w:t>
            </w:r>
          </w:p>
        </w:tc>
        <w:tc>
          <w:tcPr>
            <w:tcW w:w="0" w:type="auto"/>
          </w:tcPr>
          <w:p w14:paraId="756BDAA8"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0" w:type="auto"/>
          </w:tcPr>
          <w:p w14:paraId="45B0598A"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NR</w:t>
            </w:r>
          </w:p>
        </w:tc>
        <w:tc>
          <w:tcPr>
            <w:tcW w:w="1266" w:type="dxa"/>
          </w:tcPr>
          <w:p w14:paraId="1967DC60"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1853" w:type="dxa"/>
          </w:tcPr>
          <w:p w14:paraId="407E0F2A" w14:textId="77777777" w:rsidR="003B06AA" w:rsidRDefault="003B06AA" w:rsidP="00DE44B4">
            <w:pPr>
              <w:spacing w:after="0" w:line="240" w:lineRule="auto"/>
              <w:rPr>
                <w:color w:val="000000"/>
                <w:sz w:val="18"/>
                <w:szCs w:val="18"/>
              </w:rPr>
            </w:pPr>
            <w:r w:rsidRPr="00EC21BD">
              <w:rPr>
                <w:b/>
                <w:bCs/>
                <w:color w:val="000000"/>
                <w:sz w:val="18"/>
                <w:szCs w:val="18"/>
              </w:rPr>
              <w:t>POD-specific:</w:t>
            </w:r>
            <w:r w:rsidRPr="00EC21BD">
              <w:rPr>
                <w:color w:val="000000"/>
                <w:sz w:val="18"/>
                <w:szCs w:val="18"/>
              </w:rPr>
              <w:t xml:space="preserve"> </w:t>
            </w:r>
          </w:p>
          <w:p w14:paraId="3F189241" w14:textId="77777777" w:rsidR="003B06AA" w:rsidRDefault="003B06AA" w:rsidP="00DE44B4">
            <w:pPr>
              <w:spacing w:after="0" w:line="240" w:lineRule="auto"/>
              <w:rPr>
                <w:color w:val="000000"/>
                <w:sz w:val="18"/>
                <w:szCs w:val="18"/>
              </w:rPr>
            </w:pPr>
            <w:r w:rsidRPr="00EC21BD">
              <w:rPr>
                <w:color w:val="000000"/>
                <w:sz w:val="18"/>
                <w:szCs w:val="18"/>
              </w:rPr>
              <w:t>•</w:t>
            </w:r>
            <w:r>
              <w:rPr>
                <w:color w:val="000000"/>
                <w:sz w:val="18"/>
                <w:szCs w:val="18"/>
              </w:rPr>
              <w:t>s</w:t>
            </w:r>
            <w:r w:rsidRPr="00EC21BD">
              <w:rPr>
                <w:color w:val="000000"/>
                <w:sz w:val="18"/>
                <w:szCs w:val="18"/>
              </w:rPr>
              <w:t>elf-poisoning</w:t>
            </w:r>
          </w:p>
          <w:p w14:paraId="2CAF92D8" w14:textId="77777777" w:rsidR="003B06AA" w:rsidRDefault="003B06AA" w:rsidP="00DE44B4">
            <w:pPr>
              <w:spacing w:after="0" w:line="240" w:lineRule="auto"/>
              <w:rPr>
                <w:color w:val="000000"/>
                <w:sz w:val="18"/>
                <w:szCs w:val="18"/>
              </w:rPr>
            </w:pPr>
            <w:r w:rsidRPr="00EC21BD">
              <w:rPr>
                <w:color w:val="000000"/>
                <w:sz w:val="18"/>
                <w:szCs w:val="18"/>
              </w:rPr>
              <w:t>•availability of household substances</w:t>
            </w:r>
          </w:p>
          <w:p w14:paraId="66A12A07" w14:textId="77777777" w:rsidR="003B06AA" w:rsidRPr="00EC21BD" w:rsidRDefault="003B06AA" w:rsidP="00DE44B4">
            <w:pPr>
              <w:spacing w:after="0" w:line="240" w:lineRule="auto"/>
              <w:rPr>
                <w:color w:val="000000"/>
                <w:sz w:val="18"/>
                <w:szCs w:val="18"/>
              </w:rPr>
            </w:pPr>
            <w:r w:rsidRPr="00EC21BD">
              <w:rPr>
                <w:color w:val="000000"/>
                <w:sz w:val="18"/>
                <w:szCs w:val="18"/>
              </w:rPr>
              <w:t>•impulsive ingestion</w:t>
            </w:r>
          </w:p>
          <w:p w14:paraId="4FD64C46"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r w:rsidRPr="00EC21BD">
              <w:rPr>
                <w:color w:val="000000"/>
                <w:sz w:val="18"/>
                <w:szCs w:val="18"/>
              </w:rPr>
              <w:t>none reported</w:t>
            </w:r>
          </w:p>
          <w:p w14:paraId="6B38EB53"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p>
        </w:tc>
        <w:tc>
          <w:tcPr>
            <w:tcW w:w="1599" w:type="dxa"/>
          </w:tcPr>
          <w:p w14:paraId="01A8BD73"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r>
      <w:tr w:rsidR="003B06AA" w:rsidRPr="00EC21BD" w14:paraId="1DC04BC0" w14:textId="77777777" w:rsidTr="003B06AA">
        <w:trPr>
          <w:trHeight w:val="1587"/>
          <w:jc w:val="center"/>
        </w:trPr>
        <w:tc>
          <w:tcPr>
            <w:tcW w:w="0" w:type="auto"/>
          </w:tcPr>
          <w:p w14:paraId="4C9DAE75"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Kapur, 2005</w:t>
            </w:r>
          </w:p>
          <w:p w14:paraId="583A8B61" w14:textId="599648DC"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Self-poisoning suicides in England: a multicentre study</w:t>
            </w:r>
          </w:p>
        </w:tc>
        <w:tc>
          <w:tcPr>
            <w:tcW w:w="1459" w:type="dxa"/>
          </w:tcPr>
          <w:p w14:paraId="5901F003"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England-Oxford, Bristol and Manchester.</w:t>
            </w:r>
          </w:p>
        </w:tc>
        <w:tc>
          <w:tcPr>
            <w:tcW w:w="1459" w:type="dxa"/>
          </w:tcPr>
          <w:p w14:paraId="3A6192E2"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Retrospective Audit</w:t>
            </w:r>
          </w:p>
        </w:tc>
        <w:tc>
          <w:tcPr>
            <w:tcW w:w="0" w:type="auto"/>
          </w:tcPr>
          <w:p w14:paraId="4C4CC23D"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Any age</w:t>
            </w:r>
          </w:p>
        </w:tc>
        <w:tc>
          <w:tcPr>
            <w:tcW w:w="0" w:type="auto"/>
          </w:tcPr>
          <w:p w14:paraId="37C48BB5"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2001</w:t>
            </w:r>
            <w:r>
              <w:rPr>
                <w:color w:val="000000"/>
                <w:sz w:val="18"/>
                <w:szCs w:val="18"/>
              </w:rPr>
              <w:t>;</w:t>
            </w:r>
            <w:r w:rsidRPr="00EC21BD">
              <w:rPr>
                <w:color w:val="000000"/>
                <w:sz w:val="18"/>
                <w:szCs w:val="18"/>
              </w:rPr>
              <w:t xml:space="preserve"> 214 self-poisoning suicides </w:t>
            </w:r>
          </w:p>
        </w:tc>
        <w:tc>
          <w:tcPr>
            <w:tcW w:w="0" w:type="auto"/>
          </w:tcPr>
          <w:p w14:paraId="0A3067AA"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2001; 22 deaths involving paracetamol</w:t>
            </w:r>
          </w:p>
        </w:tc>
        <w:tc>
          <w:tcPr>
            <w:tcW w:w="0" w:type="auto"/>
          </w:tcPr>
          <w:p w14:paraId="7E058E1D"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Females more likely to reach hospital alive; % not extractable</w:t>
            </w:r>
          </w:p>
        </w:tc>
        <w:tc>
          <w:tcPr>
            <w:tcW w:w="0" w:type="auto"/>
          </w:tcPr>
          <w:p w14:paraId="3629F8EE"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NR</w:t>
            </w:r>
          </w:p>
        </w:tc>
        <w:tc>
          <w:tcPr>
            <w:tcW w:w="1266" w:type="dxa"/>
          </w:tcPr>
          <w:p w14:paraId="033F88D3"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Self-purchased (OTC); prescribed by healthcare professional</w:t>
            </w:r>
          </w:p>
        </w:tc>
        <w:tc>
          <w:tcPr>
            <w:tcW w:w="1853" w:type="dxa"/>
          </w:tcPr>
          <w:p w14:paraId="3770A945" w14:textId="77777777" w:rsidR="003B06AA" w:rsidRDefault="003B06AA" w:rsidP="00DE44B4">
            <w:pPr>
              <w:spacing w:after="0" w:line="240" w:lineRule="auto"/>
              <w:rPr>
                <w:b/>
                <w:bCs/>
                <w:color w:val="000000"/>
                <w:sz w:val="18"/>
                <w:szCs w:val="18"/>
              </w:rPr>
            </w:pPr>
            <w:r w:rsidRPr="00EC21BD">
              <w:rPr>
                <w:b/>
                <w:bCs/>
                <w:color w:val="000000"/>
                <w:sz w:val="18"/>
                <w:szCs w:val="18"/>
              </w:rPr>
              <w:t xml:space="preserve">POD-specific: </w:t>
            </w:r>
          </w:p>
          <w:p w14:paraId="781A92C2" w14:textId="77777777" w:rsidR="003B06AA" w:rsidRPr="00EC21BD" w:rsidRDefault="003B06AA" w:rsidP="00DE44B4">
            <w:pPr>
              <w:spacing w:after="0" w:line="240" w:lineRule="auto"/>
              <w:rPr>
                <w:b/>
                <w:bCs/>
                <w:color w:val="000000"/>
                <w:sz w:val="18"/>
                <w:szCs w:val="18"/>
              </w:rPr>
            </w:pPr>
            <w:r w:rsidRPr="00EC21BD">
              <w:rPr>
                <w:color w:val="000000"/>
                <w:sz w:val="18"/>
                <w:szCs w:val="18"/>
              </w:rPr>
              <w:t>self-poisoning</w:t>
            </w:r>
          </w:p>
          <w:p w14:paraId="2E7D1364"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p>
          <w:p w14:paraId="0F5DA0FF"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suicide</w:t>
            </w:r>
          </w:p>
        </w:tc>
        <w:tc>
          <w:tcPr>
            <w:tcW w:w="1599" w:type="dxa"/>
          </w:tcPr>
          <w:p w14:paraId="15F61CEC"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Alcohol</w:t>
            </w:r>
          </w:p>
        </w:tc>
      </w:tr>
      <w:tr w:rsidR="003B06AA" w:rsidRPr="00EC21BD" w14:paraId="64CABB4E" w14:textId="77777777" w:rsidTr="003B06AA">
        <w:trPr>
          <w:trHeight w:val="1361"/>
          <w:jc w:val="center"/>
        </w:trPr>
        <w:tc>
          <w:tcPr>
            <w:tcW w:w="0" w:type="auto"/>
          </w:tcPr>
          <w:p w14:paraId="7526B932" w14:textId="77777777" w:rsidR="003B06AA" w:rsidRPr="00EC21BD" w:rsidRDefault="003B06AA" w:rsidP="00DE44B4">
            <w:pPr>
              <w:spacing w:after="0" w:line="240" w:lineRule="auto"/>
              <w:rPr>
                <w:color w:val="000000"/>
                <w:sz w:val="18"/>
                <w:szCs w:val="18"/>
              </w:rPr>
            </w:pPr>
            <w:r w:rsidRPr="00EC21BD">
              <w:rPr>
                <w:b/>
                <w:bCs/>
                <w:color w:val="000000"/>
                <w:sz w:val="18"/>
                <w:szCs w:val="18"/>
              </w:rPr>
              <w:lastRenderedPageBreak/>
              <w:t>O'Loughlin, 2005</w:t>
            </w:r>
          </w:p>
          <w:p w14:paraId="699BB90F" w14:textId="7575FE7A"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A 20-year review of trends in deliberate self-harm in a British town, 1981-2000</w:t>
            </w:r>
          </w:p>
        </w:tc>
        <w:tc>
          <w:tcPr>
            <w:tcW w:w="1459" w:type="dxa"/>
          </w:tcPr>
          <w:p w14:paraId="16176512"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England-Kidderminster</w:t>
            </w:r>
          </w:p>
        </w:tc>
        <w:tc>
          <w:tcPr>
            <w:tcW w:w="1459" w:type="dxa"/>
          </w:tcPr>
          <w:p w14:paraId="1A8D173E"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Retrospective longitudinal observational study</w:t>
            </w:r>
          </w:p>
        </w:tc>
        <w:tc>
          <w:tcPr>
            <w:tcW w:w="0" w:type="auto"/>
          </w:tcPr>
          <w:p w14:paraId="31C165BD"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Young </w:t>
            </w:r>
            <w:r>
              <w:rPr>
                <w:color w:val="000000"/>
                <w:sz w:val="18"/>
                <w:szCs w:val="18"/>
              </w:rPr>
              <w:t xml:space="preserve">adults; </w:t>
            </w:r>
            <w:r w:rsidRPr="00EC21BD">
              <w:rPr>
                <w:color w:val="000000"/>
                <w:sz w:val="18"/>
                <w:szCs w:val="18"/>
              </w:rPr>
              <w:t>Adults</w:t>
            </w:r>
            <w:r>
              <w:rPr>
                <w:color w:val="000000"/>
                <w:sz w:val="18"/>
                <w:szCs w:val="18"/>
              </w:rPr>
              <w:t>;</w:t>
            </w:r>
            <w:r w:rsidRPr="00EC21BD">
              <w:rPr>
                <w:color w:val="000000"/>
                <w:sz w:val="18"/>
                <w:szCs w:val="18"/>
              </w:rPr>
              <w:t xml:space="preserve"> Older adults</w:t>
            </w:r>
            <w:r w:rsidRPr="00EC21BD">
              <w:rPr>
                <w:color w:val="000000"/>
                <w:sz w:val="18"/>
                <w:szCs w:val="18"/>
              </w:rPr>
              <w:br/>
            </w:r>
            <w:r w:rsidRPr="00EC21BD">
              <w:rPr>
                <w:color w:val="000000"/>
                <w:sz w:val="18"/>
                <w:szCs w:val="18"/>
              </w:rPr>
              <w:br/>
            </w:r>
          </w:p>
        </w:tc>
        <w:tc>
          <w:tcPr>
            <w:tcW w:w="0" w:type="auto"/>
          </w:tcPr>
          <w:p w14:paraId="6368D0AF"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1998-2000; 752 episodes.</w:t>
            </w:r>
          </w:p>
        </w:tc>
        <w:tc>
          <w:tcPr>
            <w:tcW w:w="0" w:type="auto"/>
          </w:tcPr>
          <w:p w14:paraId="471ABF49"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Not clearly reported</w:t>
            </w:r>
          </w:p>
        </w:tc>
        <w:tc>
          <w:tcPr>
            <w:tcW w:w="0" w:type="auto"/>
          </w:tcPr>
          <w:p w14:paraId="68293B11"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•1998; 48% (Ca.138); •1999: 43% (Ca.89)</w:t>
            </w:r>
            <w:r w:rsidRPr="00EC21BD">
              <w:rPr>
                <w:color w:val="000000"/>
                <w:sz w:val="18"/>
                <w:szCs w:val="18"/>
              </w:rPr>
              <w:br/>
            </w:r>
          </w:p>
        </w:tc>
        <w:tc>
          <w:tcPr>
            <w:tcW w:w="0" w:type="auto"/>
          </w:tcPr>
          <w:p w14:paraId="10CBFC6E"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NA for POD</w:t>
            </w:r>
          </w:p>
        </w:tc>
        <w:tc>
          <w:tcPr>
            <w:tcW w:w="1266" w:type="dxa"/>
          </w:tcPr>
          <w:p w14:paraId="7C9FC819"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1853" w:type="dxa"/>
          </w:tcPr>
          <w:p w14:paraId="18CC5382" w14:textId="77777777" w:rsidR="003B06AA" w:rsidRDefault="003B06AA" w:rsidP="00DE44B4">
            <w:pPr>
              <w:spacing w:after="0" w:line="240" w:lineRule="auto"/>
              <w:rPr>
                <w:b/>
                <w:bCs/>
                <w:color w:val="000000"/>
                <w:sz w:val="18"/>
                <w:szCs w:val="18"/>
              </w:rPr>
            </w:pPr>
            <w:r w:rsidRPr="00EC21BD">
              <w:rPr>
                <w:b/>
                <w:bCs/>
                <w:color w:val="000000"/>
                <w:sz w:val="18"/>
                <w:szCs w:val="18"/>
              </w:rPr>
              <w:t xml:space="preserve">POD-specific: </w:t>
            </w:r>
          </w:p>
          <w:p w14:paraId="71AC4F68" w14:textId="77777777" w:rsidR="003B06AA" w:rsidRPr="00EC21BD" w:rsidRDefault="003B06AA" w:rsidP="00DE44B4">
            <w:pPr>
              <w:spacing w:after="0" w:line="240" w:lineRule="auto"/>
              <w:rPr>
                <w:b/>
                <w:bCs/>
                <w:color w:val="000000"/>
                <w:sz w:val="18"/>
                <w:szCs w:val="18"/>
              </w:rPr>
            </w:pPr>
            <w:r w:rsidRPr="00EC21BD">
              <w:rPr>
                <w:color w:val="000000"/>
                <w:sz w:val="18"/>
                <w:szCs w:val="18"/>
              </w:rPr>
              <w:t>self-poisoning</w:t>
            </w:r>
          </w:p>
          <w:p w14:paraId="7A6F36EC"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p>
          <w:p w14:paraId="179AFC8A"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suicide</w:t>
            </w:r>
          </w:p>
        </w:tc>
        <w:tc>
          <w:tcPr>
            <w:tcW w:w="1599" w:type="dxa"/>
          </w:tcPr>
          <w:p w14:paraId="2FD6F6E7"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Pr>
                <w:color w:val="000000"/>
                <w:sz w:val="18"/>
                <w:szCs w:val="18"/>
              </w:rPr>
              <w:t>A</w:t>
            </w:r>
            <w:r w:rsidRPr="00EC21BD">
              <w:rPr>
                <w:color w:val="000000"/>
                <w:sz w:val="18"/>
                <w:szCs w:val="18"/>
              </w:rPr>
              <w:t>lcohol</w:t>
            </w:r>
          </w:p>
        </w:tc>
      </w:tr>
      <w:tr w:rsidR="003B06AA" w:rsidRPr="00EC21BD" w14:paraId="25FFCB57" w14:textId="77777777" w:rsidTr="003B06AA">
        <w:trPr>
          <w:trHeight w:val="1928"/>
          <w:jc w:val="center"/>
        </w:trPr>
        <w:tc>
          <w:tcPr>
            <w:tcW w:w="0" w:type="auto"/>
          </w:tcPr>
          <w:p w14:paraId="508092CD"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Greene, 2006</w:t>
            </w:r>
          </w:p>
          <w:p w14:paraId="6F8C98CA" w14:textId="73ABAD2A"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Paracetamol availability and recent changes in paracetamol poisoning: is the 1998 legislation limiting availability of paracetamol being followed?</w:t>
            </w:r>
            <w:r w:rsidR="00890C90" w:rsidRPr="00EC21BD">
              <w:rPr>
                <w:rFonts w:eastAsia="Times New Roman" w:cs="Times New Roman"/>
                <w:color w:val="000000"/>
                <w:kern w:val="0"/>
                <w:sz w:val="18"/>
                <w:szCs w:val="18"/>
                <w:lang w:eastAsia="en-GB"/>
                <w14:ligatures w14:val="none"/>
              </w:rPr>
              <w:t xml:space="preserve"> </w:t>
            </w:r>
          </w:p>
        </w:tc>
        <w:tc>
          <w:tcPr>
            <w:tcW w:w="1459" w:type="dxa"/>
          </w:tcPr>
          <w:p w14:paraId="7FCE60CF"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England-London</w:t>
            </w:r>
          </w:p>
        </w:tc>
        <w:tc>
          <w:tcPr>
            <w:tcW w:w="1459" w:type="dxa"/>
          </w:tcPr>
          <w:p w14:paraId="2B64E6E7"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Retrospective observational study</w:t>
            </w:r>
          </w:p>
        </w:tc>
        <w:tc>
          <w:tcPr>
            <w:tcW w:w="0" w:type="auto"/>
          </w:tcPr>
          <w:p w14:paraId="58FAEF94"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Young </w:t>
            </w:r>
            <w:r>
              <w:rPr>
                <w:color w:val="000000"/>
                <w:sz w:val="18"/>
                <w:szCs w:val="18"/>
              </w:rPr>
              <w:t>adults;</w:t>
            </w:r>
            <w:r w:rsidRPr="00EC21BD">
              <w:rPr>
                <w:color w:val="000000"/>
                <w:sz w:val="18"/>
                <w:szCs w:val="18"/>
              </w:rPr>
              <w:t xml:space="preserve"> Adults</w:t>
            </w:r>
            <w:r>
              <w:rPr>
                <w:color w:val="000000"/>
                <w:sz w:val="18"/>
                <w:szCs w:val="18"/>
              </w:rPr>
              <w:t>;</w:t>
            </w:r>
            <w:r w:rsidRPr="00EC21BD">
              <w:rPr>
                <w:color w:val="000000"/>
                <w:sz w:val="18"/>
                <w:szCs w:val="18"/>
              </w:rPr>
              <w:t xml:space="preserve"> Older adults</w:t>
            </w:r>
            <w:r w:rsidRPr="00EC21BD">
              <w:rPr>
                <w:color w:val="000000"/>
                <w:sz w:val="18"/>
                <w:szCs w:val="18"/>
              </w:rPr>
              <w:br/>
            </w:r>
            <w:r w:rsidRPr="00EC21BD">
              <w:rPr>
                <w:color w:val="000000"/>
                <w:sz w:val="18"/>
                <w:szCs w:val="18"/>
              </w:rPr>
              <w:br/>
            </w:r>
          </w:p>
        </w:tc>
        <w:tc>
          <w:tcPr>
            <w:tcW w:w="0" w:type="auto"/>
          </w:tcPr>
          <w:p w14:paraId="2DC5DB6E"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2001-2003; 107 individuals</w:t>
            </w:r>
          </w:p>
        </w:tc>
        <w:tc>
          <w:tcPr>
            <w:tcW w:w="0" w:type="auto"/>
          </w:tcPr>
          <w:p w14:paraId="1A7FDC8F"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2001-2003: 107 POD cases (all POD)</w:t>
            </w:r>
          </w:p>
        </w:tc>
        <w:tc>
          <w:tcPr>
            <w:tcW w:w="0" w:type="auto"/>
          </w:tcPr>
          <w:p w14:paraId="363D2C5F"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51% female</w:t>
            </w:r>
          </w:p>
        </w:tc>
        <w:tc>
          <w:tcPr>
            <w:tcW w:w="0" w:type="auto"/>
          </w:tcPr>
          <w:p w14:paraId="63DC0ADB"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1266" w:type="dxa"/>
          </w:tcPr>
          <w:p w14:paraId="0B99654E"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Self-purchased (OTC); prescribed by healthcare professional</w:t>
            </w:r>
          </w:p>
        </w:tc>
        <w:tc>
          <w:tcPr>
            <w:tcW w:w="1853" w:type="dxa"/>
          </w:tcPr>
          <w:p w14:paraId="16D00A79" w14:textId="77777777" w:rsidR="003B06AA" w:rsidRDefault="003B06AA" w:rsidP="00DE44B4">
            <w:pPr>
              <w:spacing w:after="0" w:line="240" w:lineRule="auto"/>
              <w:rPr>
                <w:b/>
                <w:bCs/>
                <w:color w:val="000000"/>
                <w:sz w:val="18"/>
                <w:szCs w:val="18"/>
              </w:rPr>
            </w:pPr>
            <w:r w:rsidRPr="00EC21BD">
              <w:rPr>
                <w:b/>
                <w:bCs/>
                <w:color w:val="000000"/>
                <w:sz w:val="18"/>
                <w:szCs w:val="18"/>
              </w:rPr>
              <w:t xml:space="preserve">POD-specific: </w:t>
            </w:r>
          </w:p>
          <w:p w14:paraId="462E9315" w14:textId="77777777" w:rsidR="003B06AA" w:rsidRDefault="003B06AA" w:rsidP="00DE44B4">
            <w:pPr>
              <w:spacing w:after="0" w:line="240" w:lineRule="auto"/>
              <w:rPr>
                <w:color w:val="000000"/>
                <w:sz w:val="18"/>
                <w:szCs w:val="18"/>
              </w:rPr>
            </w:pPr>
            <w:r w:rsidRPr="00EC21BD">
              <w:rPr>
                <w:color w:val="000000"/>
                <w:sz w:val="18"/>
                <w:szCs w:val="18"/>
              </w:rPr>
              <w:t>•self-poisoning, •availability</w:t>
            </w:r>
          </w:p>
          <w:p w14:paraId="03CD5F47" w14:textId="77777777" w:rsidR="003B06AA" w:rsidRPr="00EC21BD" w:rsidRDefault="003B06AA" w:rsidP="00DE44B4">
            <w:pPr>
              <w:spacing w:after="0" w:line="240" w:lineRule="auto"/>
              <w:rPr>
                <w:b/>
                <w:bCs/>
                <w:color w:val="000000"/>
                <w:sz w:val="18"/>
                <w:szCs w:val="18"/>
              </w:rPr>
            </w:pPr>
            <w:r w:rsidRPr="00EC21BD">
              <w:rPr>
                <w:color w:val="000000"/>
                <w:sz w:val="18"/>
                <w:szCs w:val="18"/>
              </w:rPr>
              <w:t>•contravention of 1998 pack-size legislation (ease of purchasing multiple packs)</w:t>
            </w:r>
          </w:p>
          <w:p w14:paraId="78CCE7AD"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p>
          <w:p w14:paraId="67E0E396" w14:textId="77777777" w:rsidR="003B06AA" w:rsidRPr="00EC21BD" w:rsidRDefault="003B06AA" w:rsidP="00DE44B4">
            <w:pPr>
              <w:spacing w:after="0" w:line="240" w:lineRule="auto"/>
              <w:rPr>
                <w:color w:val="000000"/>
                <w:sz w:val="18"/>
                <w:szCs w:val="18"/>
              </w:rPr>
            </w:pPr>
            <w:r>
              <w:rPr>
                <w:color w:val="000000"/>
                <w:sz w:val="18"/>
                <w:szCs w:val="18"/>
              </w:rPr>
              <w:t>n</w:t>
            </w:r>
            <w:r w:rsidRPr="00EC21BD">
              <w:rPr>
                <w:color w:val="000000"/>
                <w:sz w:val="18"/>
                <w:szCs w:val="18"/>
              </w:rPr>
              <w:t>one reported</w:t>
            </w:r>
          </w:p>
          <w:p w14:paraId="3987E88E" w14:textId="77777777" w:rsidR="003B06AA" w:rsidRPr="00EC21BD" w:rsidRDefault="003B06AA" w:rsidP="00DE44B4">
            <w:pPr>
              <w:spacing w:after="0" w:line="240" w:lineRule="auto"/>
              <w:rPr>
                <w:color w:val="000000"/>
                <w:sz w:val="18"/>
                <w:szCs w:val="18"/>
              </w:rPr>
            </w:pPr>
          </w:p>
          <w:p w14:paraId="2DF15B1D"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br/>
            </w:r>
          </w:p>
        </w:tc>
        <w:tc>
          <w:tcPr>
            <w:tcW w:w="1599" w:type="dxa"/>
          </w:tcPr>
          <w:p w14:paraId="1F4144F9"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C61EC8">
              <w:rPr>
                <w:color w:val="000000"/>
                <w:sz w:val="18"/>
                <w:szCs w:val="18"/>
              </w:rPr>
              <w:t>Multiple co</w:t>
            </w:r>
            <w:r w:rsidRPr="00C61EC8">
              <w:rPr>
                <w:color w:val="000000"/>
                <w:sz w:val="18"/>
                <w:szCs w:val="18"/>
              </w:rPr>
              <w:noBreakHyphen/>
              <w:t>ingestants (various medications)</w:t>
            </w:r>
            <w:r w:rsidRPr="00EC21BD">
              <w:rPr>
                <w:color w:val="000000"/>
                <w:sz w:val="18"/>
                <w:szCs w:val="18"/>
              </w:rPr>
              <w:t xml:space="preserve"> Multiple co ingestants (various medications)</w:t>
            </w:r>
          </w:p>
        </w:tc>
      </w:tr>
      <w:tr w:rsidR="003B06AA" w:rsidRPr="00EC21BD" w14:paraId="0A022FCD" w14:textId="77777777" w:rsidTr="003B06AA">
        <w:trPr>
          <w:trHeight w:val="1531"/>
          <w:jc w:val="center"/>
        </w:trPr>
        <w:tc>
          <w:tcPr>
            <w:tcW w:w="0" w:type="auto"/>
          </w:tcPr>
          <w:p w14:paraId="61289C00"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Hawton, 2007</w:t>
            </w:r>
          </w:p>
          <w:p w14:paraId="6DF58C35" w14:textId="1C1F110E"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Self-harm in England: a tale of three cities. Multicentre study of self-harm</w:t>
            </w:r>
          </w:p>
        </w:tc>
        <w:tc>
          <w:tcPr>
            <w:tcW w:w="1459" w:type="dxa"/>
          </w:tcPr>
          <w:p w14:paraId="0010AFCA"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England-Oxford, Manchester, Leeds</w:t>
            </w:r>
          </w:p>
        </w:tc>
        <w:tc>
          <w:tcPr>
            <w:tcW w:w="1459" w:type="dxa"/>
          </w:tcPr>
          <w:p w14:paraId="1B348677"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Multi-centre cohort study</w:t>
            </w:r>
          </w:p>
        </w:tc>
        <w:tc>
          <w:tcPr>
            <w:tcW w:w="0" w:type="auto"/>
          </w:tcPr>
          <w:p w14:paraId="491751E8"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Young </w:t>
            </w:r>
            <w:r>
              <w:rPr>
                <w:color w:val="000000"/>
                <w:sz w:val="18"/>
                <w:szCs w:val="18"/>
              </w:rPr>
              <w:t>adults;</w:t>
            </w:r>
            <w:r w:rsidRPr="00EC21BD">
              <w:rPr>
                <w:color w:val="000000"/>
                <w:sz w:val="18"/>
                <w:szCs w:val="18"/>
              </w:rPr>
              <w:t xml:space="preserve"> Adults</w:t>
            </w:r>
            <w:r>
              <w:rPr>
                <w:color w:val="000000"/>
                <w:sz w:val="18"/>
                <w:szCs w:val="18"/>
              </w:rPr>
              <w:t>;</w:t>
            </w:r>
            <w:r w:rsidRPr="00EC21BD">
              <w:rPr>
                <w:color w:val="000000"/>
                <w:sz w:val="18"/>
                <w:szCs w:val="18"/>
              </w:rPr>
              <w:t xml:space="preserve"> Older adults</w:t>
            </w:r>
          </w:p>
        </w:tc>
        <w:tc>
          <w:tcPr>
            <w:tcW w:w="0" w:type="auto"/>
          </w:tcPr>
          <w:p w14:paraId="1EAE0E1F" w14:textId="68A5095A"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2000–2001; 7344 individuals (10498 episodes)</w:t>
            </w:r>
            <w:r w:rsidRPr="00EC21BD">
              <w:rPr>
                <w:color w:val="000000"/>
                <w:sz w:val="18"/>
                <w:szCs w:val="18"/>
              </w:rPr>
              <w:br/>
            </w:r>
          </w:p>
        </w:tc>
        <w:tc>
          <w:tcPr>
            <w:tcW w:w="0" w:type="auto"/>
          </w:tcPr>
          <w:p w14:paraId="166070C3" w14:textId="75E321E3"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2000-2001: 30.7% of 8906 episodes</w:t>
            </w:r>
          </w:p>
        </w:tc>
        <w:tc>
          <w:tcPr>
            <w:tcW w:w="0" w:type="auto"/>
          </w:tcPr>
          <w:p w14:paraId="0CD2B6D8"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41.4% female</w:t>
            </w:r>
            <w:r w:rsidRPr="00EC21BD">
              <w:rPr>
                <w:color w:val="000000"/>
                <w:sz w:val="18"/>
                <w:szCs w:val="18"/>
              </w:rPr>
              <w:br/>
            </w:r>
            <w:r w:rsidRPr="00EC21BD">
              <w:rPr>
                <w:color w:val="000000"/>
                <w:sz w:val="18"/>
                <w:szCs w:val="18"/>
              </w:rPr>
              <w:br/>
            </w:r>
          </w:p>
        </w:tc>
        <w:tc>
          <w:tcPr>
            <w:tcW w:w="0" w:type="auto"/>
          </w:tcPr>
          <w:p w14:paraId="0ABD3352"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NA for paracetamol data</w:t>
            </w:r>
          </w:p>
        </w:tc>
        <w:tc>
          <w:tcPr>
            <w:tcW w:w="1266" w:type="dxa"/>
          </w:tcPr>
          <w:p w14:paraId="176682C5"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1853" w:type="dxa"/>
          </w:tcPr>
          <w:p w14:paraId="52B378F6" w14:textId="77777777" w:rsidR="003B06AA" w:rsidRDefault="003B06AA" w:rsidP="00DE44B4">
            <w:pPr>
              <w:spacing w:after="0" w:line="240" w:lineRule="auto"/>
              <w:rPr>
                <w:b/>
                <w:bCs/>
                <w:color w:val="000000"/>
                <w:sz w:val="18"/>
                <w:szCs w:val="18"/>
              </w:rPr>
            </w:pPr>
            <w:r w:rsidRPr="00EC21BD">
              <w:rPr>
                <w:b/>
                <w:bCs/>
                <w:color w:val="000000"/>
                <w:sz w:val="18"/>
                <w:szCs w:val="18"/>
              </w:rPr>
              <w:t xml:space="preserve">POD-specific: </w:t>
            </w:r>
          </w:p>
          <w:p w14:paraId="4A345473" w14:textId="77777777" w:rsidR="003B06AA" w:rsidRPr="00EC21BD" w:rsidRDefault="003B06AA" w:rsidP="00DE44B4">
            <w:pPr>
              <w:spacing w:after="0" w:line="240" w:lineRule="auto"/>
              <w:rPr>
                <w:b/>
                <w:bCs/>
                <w:color w:val="000000"/>
                <w:sz w:val="18"/>
                <w:szCs w:val="18"/>
              </w:rPr>
            </w:pPr>
            <w:r w:rsidRPr="00EC21BD">
              <w:rPr>
                <w:color w:val="000000"/>
                <w:sz w:val="18"/>
                <w:szCs w:val="18"/>
              </w:rPr>
              <w:t>self-poisoning</w:t>
            </w:r>
          </w:p>
          <w:p w14:paraId="5498ACDF"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p>
          <w:p w14:paraId="002CD2D6"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none reported</w:t>
            </w:r>
          </w:p>
        </w:tc>
        <w:tc>
          <w:tcPr>
            <w:tcW w:w="1599" w:type="dxa"/>
          </w:tcPr>
          <w:p w14:paraId="52A11DD4"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Alcohol; Other </w:t>
            </w:r>
            <w:r>
              <w:rPr>
                <w:color w:val="000000"/>
                <w:sz w:val="18"/>
                <w:szCs w:val="18"/>
              </w:rPr>
              <w:t>medications</w:t>
            </w:r>
          </w:p>
        </w:tc>
      </w:tr>
      <w:tr w:rsidR="003B06AA" w:rsidRPr="00EC21BD" w14:paraId="2FDDF3B1" w14:textId="77777777" w:rsidTr="003B06AA">
        <w:trPr>
          <w:trHeight w:val="1985"/>
          <w:jc w:val="center"/>
        </w:trPr>
        <w:tc>
          <w:tcPr>
            <w:tcW w:w="0" w:type="auto"/>
          </w:tcPr>
          <w:p w14:paraId="10F08EE9"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Morgan, 2007</w:t>
            </w:r>
          </w:p>
          <w:p w14:paraId="77A74666" w14:textId="6EDE1608"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Paracetamol (acetaminophen) pack size restrictions and poisoning severity: time trends in enquiries to a UK poisons centre</w:t>
            </w:r>
          </w:p>
        </w:tc>
        <w:tc>
          <w:tcPr>
            <w:tcW w:w="1459" w:type="dxa"/>
          </w:tcPr>
          <w:p w14:paraId="6744BB60"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England-London</w:t>
            </w:r>
          </w:p>
        </w:tc>
        <w:tc>
          <w:tcPr>
            <w:tcW w:w="1459" w:type="dxa"/>
          </w:tcPr>
          <w:p w14:paraId="52D549AF"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Observational time trend study</w:t>
            </w:r>
          </w:p>
        </w:tc>
        <w:tc>
          <w:tcPr>
            <w:tcW w:w="0" w:type="auto"/>
          </w:tcPr>
          <w:p w14:paraId="5B78A96C"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Any age</w:t>
            </w:r>
          </w:p>
        </w:tc>
        <w:tc>
          <w:tcPr>
            <w:tcW w:w="0" w:type="auto"/>
          </w:tcPr>
          <w:p w14:paraId="3F086ED3" w14:textId="1E64A5BA"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1998–2004; 876175 enquiries</w:t>
            </w:r>
          </w:p>
        </w:tc>
        <w:tc>
          <w:tcPr>
            <w:tcW w:w="0" w:type="auto"/>
          </w:tcPr>
          <w:p w14:paraId="41905F48" w14:textId="163696DB" w:rsidR="003B06AA" w:rsidRPr="00EC21BD" w:rsidRDefault="003B06AA" w:rsidP="00DE44B4">
            <w:pPr>
              <w:spacing w:after="0" w:line="240" w:lineRule="auto"/>
              <w:rPr>
                <w:color w:val="000000"/>
                <w:sz w:val="18"/>
                <w:szCs w:val="18"/>
              </w:rPr>
            </w:pPr>
            <w:r w:rsidRPr="00EC21BD">
              <w:rPr>
                <w:color w:val="000000"/>
                <w:sz w:val="18"/>
                <w:szCs w:val="18"/>
              </w:rPr>
              <w:t>1998-2004; 94510 POD enquiries</w:t>
            </w:r>
            <w:r w:rsidRPr="00EC21BD">
              <w:rPr>
                <w:color w:val="000000"/>
                <w:sz w:val="18"/>
                <w:szCs w:val="18"/>
              </w:rPr>
              <w:br/>
            </w:r>
          </w:p>
        </w:tc>
        <w:tc>
          <w:tcPr>
            <w:tcW w:w="0" w:type="auto"/>
          </w:tcPr>
          <w:p w14:paraId="5AA423B2"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NR</w:t>
            </w:r>
          </w:p>
        </w:tc>
        <w:tc>
          <w:tcPr>
            <w:tcW w:w="0" w:type="auto"/>
          </w:tcPr>
          <w:p w14:paraId="65FA5BFF"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NR</w:t>
            </w:r>
          </w:p>
        </w:tc>
        <w:tc>
          <w:tcPr>
            <w:tcW w:w="1266" w:type="dxa"/>
          </w:tcPr>
          <w:p w14:paraId="50A83AE6"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NR</w:t>
            </w:r>
          </w:p>
        </w:tc>
        <w:tc>
          <w:tcPr>
            <w:tcW w:w="1853" w:type="dxa"/>
          </w:tcPr>
          <w:p w14:paraId="60E86DA8" w14:textId="77777777" w:rsidR="003B06AA" w:rsidRDefault="003B06AA" w:rsidP="00DE44B4">
            <w:pPr>
              <w:spacing w:after="0" w:line="240" w:lineRule="auto"/>
              <w:rPr>
                <w:b/>
                <w:bCs/>
                <w:color w:val="000000"/>
                <w:sz w:val="18"/>
                <w:szCs w:val="18"/>
              </w:rPr>
            </w:pPr>
            <w:r w:rsidRPr="00EC21BD">
              <w:rPr>
                <w:b/>
                <w:bCs/>
                <w:color w:val="000000"/>
                <w:sz w:val="18"/>
                <w:szCs w:val="18"/>
              </w:rPr>
              <w:t xml:space="preserve">POD-specific: </w:t>
            </w:r>
          </w:p>
          <w:p w14:paraId="4FC3B9A5" w14:textId="77777777" w:rsidR="003B06AA" w:rsidRPr="00EC21BD" w:rsidRDefault="003B06AA" w:rsidP="00DE44B4">
            <w:pPr>
              <w:spacing w:after="0" w:line="240" w:lineRule="auto"/>
              <w:rPr>
                <w:b/>
                <w:bCs/>
                <w:color w:val="000000"/>
                <w:sz w:val="18"/>
                <w:szCs w:val="18"/>
              </w:rPr>
            </w:pPr>
            <w:r w:rsidRPr="00EC21BD">
              <w:rPr>
                <w:color w:val="000000"/>
                <w:sz w:val="18"/>
                <w:szCs w:val="18"/>
              </w:rPr>
              <w:t>self-poisoning</w:t>
            </w:r>
          </w:p>
          <w:p w14:paraId="22B5D333"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p>
          <w:p w14:paraId="3474005A"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none reported</w:t>
            </w:r>
          </w:p>
        </w:tc>
        <w:tc>
          <w:tcPr>
            <w:tcW w:w="1599" w:type="dxa"/>
          </w:tcPr>
          <w:p w14:paraId="613E58B5"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NR</w:t>
            </w:r>
          </w:p>
        </w:tc>
      </w:tr>
      <w:tr w:rsidR="003B06AA" w:rsidRPr="00EC21BD" w14:paraId="4A0F06C1" w14:textId="77777777" w:rsidTr="003B06AA">
        <w:trPr>
          <w:trHeight w:val="1531"/>
          <w:jc w:val="center"/>
        </w:trPr>
        <w:tc>
          <w:tcPr>
            <w:tcW w:w="0" w:type="auto"/>
          </w:tcPr>
          <w:p w14:paraId="70DAA244" w14:textId="590029D7" w:rsidR="003B06AA" w:rsidRPr="00EC21BD" w:rsidRDefault="003B06AA" w:rsidP="00DE44B4">
            <w:pPr>
              <w:spacing w:after="0" w:line="240" w:lineRule="auto"/>
              <w:rPr>
                <w:b/>
                <w:bCs/>
                <w:color w:val="000000"/>
                <w:sz w:val="18"/>
                <w:szCs w:val="18"/>
              </w:rPr>
            </w:pPr>
            <w:r w:rsidRPr="00EC21BD">
              <w:rPr>
                <w:b/>
                <w:bCs/>
                <w:color w:val="000000"/>
                <w:sz w:val="18"/>
                <w:szCs w:val="18"/>
              </w:rPr>
              <w:t>Godber, 2007</w:t>
            </w:r>
            <w:r w:rsidRPr="00EC21BD">
              <w:rPr>
                <w:color w:val="000000"/>
                <w:sz w:val="18"/>
                <w:szCs w:val="18"/>
              </w:rPr>
              <w:t xml:space="preserve"> Hypokalaemia following paracetamol overdose in two teenage girls</w:t>
            </w:r>
          </w:p>
        </w:tc>
        <w:tc>
          <w:tcPr>
            <w:tcW w:w="1459" w:type="dxa"/>
          </w:tcPr>
          <w:p w14:paraId="0E900A29"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Scotland-Lanarkshire</w:t>
            </w:r>
          </w:p>
        </w:tc>
        <w:tc>
          <w:tcPr>
            <w:tcW w:w="1459" w:type="dxa"/>
          </w:tcPr>
          <w:p w14:paraId="46E27952"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Case reports</w:t>
            </w:r>
          </w:p>
        </w:tc>
        <w:tc>
          <w:tcPr>
            <w:tcW w:w="0" w:type="auto"/>
          </w:tcPr>
          <w:p w14:paraId="795521FE"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Young </w:t>
            </w:r>
            <w:r>
              <w:rPr>
                <w:color w:val="000000"/>
                <w:sz w:val="18"/>
                <w:szCs w:val="18"/>
              </w:rPr>
              <w:t>adults</w:t>
            </w:r>
            <w:r w:rsidRPr="00EC21BD">
              <w:rPr>
                <w:color w:val="000000"/>
                <w:sz w:val="18"/>
                <w:szCs w:val="18"/>
              </w:rPr>
              <w:br/>
            </w:r>
            <w:r w:rsidRPr="00EC21BD">
              <w:rPr>
                <w:color w:val="000000"/>
                <w:sz w:val="18"/>
                <w:szCs w:val="18"/>
              </w:rPr>
              <w:br/>
            </w:r>
          </w:p>
        </w:tc>
        <w:tc>
          <w:tcPr>
            <w:tcW w:w="0" w:type="auto"/>
          </w:tcPr>
          <w:p w14:paraId="5205F9FE"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Case series; 2 individuals</w:t>
            </w:r>
          </w:p>
        </w:tc>
        <w:tc>
          <w:tcPr>
            <w:tcW w:w="0" w:type="auto"/>
          </w:tcPr>
          <w:p w14:paraId="4A5474B1"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2 POD cases</w:t>
            </w:r>
          </w:p>
        </w:tc>
        <w:tc>
          <w:tcPr>
            <w:tcW w:w="0" w:type="auto"/>
          </w:tcPr>
          <w:p w14:paraId="250D87F7"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100% female</w:t>
            </w:r>
          </w:p>
        </w:tc>
        <w:tc>
          <w:tcPr>
            <w:tcW w:w="0" w:type="auto"/>
          </w:tcPr>
          <w:p w14:paraId="1325C428" w14:textId="54885CFF"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proofErr w:type="spellStart"/>
            <w:r w:rsidRPr="00EC21BD">
              <w:rPr>
                <w:color w:val="000000"/>
                <w:sz w:val="18"/>
                <w:szCs w:val="18"/>
              </w:rPr>
              <w:t>NA</w:t>
            </w:r>
            <w:r w:rsidR="0011765E" w:rsidRPr="0011765E">
              <w:rPr>
                <w:color w:val="000000"/>
                <w:sz w:val="18"/>
                <w:szCs w:val="18"/>
                <w:vertAlign w:val="superscript"/>
              </w:rPr>
              <w:t>n</w:t>
            </w:r>
            <w:proofErr w:type="spellEnd"/>
          </w:p>
        </w:tc>
        <w:tc>
          <w:tcPr>
            <w:tcW w:w="1266" w:type="dxa"/>
          </w:tcPr>
          <w:p w14:paraId="2AE2F991"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1853" w:type="dxa"/>
          </w:tcPr>
          <w:p w14:paraId="608CEAA5" w14:textId="77777777" w:rsidR="003B06AA" w:rsidRDefault="003B06AA" w:rsidP="00DE44B4">
            <w:pPr>
              <w:spacing w:after="0" w:line="240" w:lineRule="auto"/>
              <w:rPr>
                <w:b/>
                <w:bCs/>
                <w:color w:val="000000"/>
                <w:sz w:val="18"/>
                <w:szCs w:val="18"/>
              </w:rPr>
            </w:pPr>
            <w:r w:rsidRPr="00EC21BD">
              <w:rPr>
                <w:b/>
                <w:bCs/>
                <w:color w:val="000000"/>
                <w:sz w:val="18"/>
                <w:szCs w:val="18"/>
              </w:rPr>
              <w:t xml:space="preserve">POD-specific: </w:t>
            </w:r>
          </w:p>
          <w:p w14:paraId="191293E9" w14:textId="77777777" w:rsidR="003B06AA" w:rsidRPr="00EC21BD" w:rsidRDefault="003B06AA" w:rsidP="00DE44B4">
            <w:pPr>
              <w:spacing w:after="0" w:line="240" w:lineRule="auto"/>
              <w:rPr>
                <w:b/>
                <w:bCs/>
                <w:color w:val="000000"/>
                <w:sz w:val="18"/>
                <w:szCs w:val="18"/>
              </w:rPr>
            </w:pPr>
            <w:r w:rsidRPr="00EC21BD">
              <w:rPr>
                <w:color w:val="000000"/>
                <w:sz w:val="18"/>
                <w:szCs w:val="18"/>
              </w:rPr>
              <w:t>self-poisoning</w:t>
            </w:r>
          </w:p>
          <w:p w14:paraId="78C10E8F"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p>
          <w:p w14:paraId="215877A4"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none reported</w:t>
            </w:r>
          </w:p>
        </w:tc>
        <w:tc>
          <w:tcPr>
            <w:tcW w:w="1599" w:type="dxa"/>
          </w:tcPr>
          <w:p w14:paraId="59F29370"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Other medications</w:t>
            </w:r>
          </w:p>
        </w:tc>
      </w:tr>
      <w:tr w:rsidR="003B06AA" w:rsidRPr="00EC21BD" w14:paraId="57B00770" w14:textId="77777777" w:rsidTr="003B06AA">
        <w:trPr>
          <w:trHeight w:val="1757"/>
          <w:jc w:val="center"/>
        </w:trPr>
        <w:tc>
          <w:tcPr>
            <w:tcW w:w="0" w:type="auto"/>
          </w:tcPr>
          <w:p w14:paraId="3D82F680" w14:textId="77777777" w:rsidR="003B06AA" w:rsidRPr="00EC21BD" w:rsidRDefault="003B06AA" w:rsidP="00DE44B4">
            <w:pPr>
              <w:spacing w:after="0" w:line="240" w:lineRule="auto"/>
              <w:rPr>
                <w:color w:val="000000"/>
                <w:sz w:val="18"/>
                <w:szCs w:val="18"/>
              </w:rPr>
            </w:pPr>
            <w:r w:rsidRPr="00EC21BD">
              <w:rPr>
                <w:b/>
                <w:bCs/>
                <w:color w:val="000000"/>
                <w:sz w:val="18"/>
                <w:szCs w:val="18"/>
              </w:rPr>
              <w:lastRenderedPageBreak/>
              <w:t>Cook, 2008</w:t>
            </w:r>
          </w:p>
          <w:p w14:paraId="643764EA" w14:textId="7651FD89"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Self-poisoning: current trends and practice in a U.K. teaching hospital</w:t>
            </w:r>
          </w:p>
        </w:tc>
        <w:tc>
          <w:tcPr>
            <w:tcW w:w="1459" w:type="dxa"/>
          </w:tcPr>
          <w:p w14:paraId="3C274BBC"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Scotland-Dundee</w:t>
            </w:r>
          </w:p>
        </w:tc>
        <w:tc>
          <w:tcPr>
            <w:tcW w:w="1459" w:type="dxa"/>
          </w:tcPr>
          <w:p w14:paraId="4A914642"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Epidemiologic paper, prospective survey</w:t>
            </w:r>
          </w:p>
        </w:tc>
        <w:tc>
          <w:tcPr>
            <w:tcW w:w="0" w:type="auto"/>
          </w:tcPr>
          <w:p w14:paraId="42413F72"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Young </w:t>
            </w:r>
            <w:r>
              <w:rPr>
                <w:color w:val="000000"/>
                <w:sz w:val="18"/>
                <w:szCs w:val="18"/>
              </w:rPr>
              <w:t>adults;</w:t>
            </w:r>
            <w:r w:rsidRPr="00EC21BD">
              <w:rPr>
                <w:color w:val="000000"/>
                <w:sz w:val="18"/>
                <w:szCs w:val="18"/>
              </w:rPr>
              <w:t xml:space="preserve"> Adults</w:t>
            </w:r>
            <w:r>
              <w:rPr>
                <w:color w:val="000000"/>
                <w:sz w:val="18"/>
                <w:szCs w:val="18"/>
              </w:rPr>
              <w:t>;</w:t>
            </w:r>
            <w:r w:rsidRPr="00EC21BD">
              <w:rPr>
                <w:color w:val="000000"/>
                <w:sz w:val="18"/>
                <w:szCs w:val="18"/>
              </w:rPr>
              <w:t xml:space="preserve"> Older adults</w:t>
            </w:r>
            <w:r w:rsidRPr="00EC21BD">
              <w:rPr>
                <w:color w:val="000000"/>
                <w:sz w:val="18"/>
                <w:szCs w:val="18"/>
              </w:rPr>
              <w:br/>
            </w:r>
            <w:r w:rsidRPr="00EC21BD">
              <w:rPr>
                <w:color w:val="000000"/>
                <w:sz w:val="18"/>
                <w:szCs w:val="18"/>
              </w:rPr>
              <w:br/>
            </w:r>
          </w:p>
        </w:tc>
        <w:tc>
          <w:tcPr>
            <w:tcW w:w="0" w:type="auto"/>
          </w:tcPr>
          <w:p w14:paraId="5C2BE0B6"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2004; 530 individuals</w:t>
            </w:r>
            <w:r w:rsidRPr="00EC21BD">
              <w:rPr>
                <w:color w:val="000000"/>
                <w:sz w:val="18"/>
                <w:szCs w:val="18"/>
              </w:rPr>
              <w:br/>
            </w:r>
            <w:r w:rsidRPr="00EC21BD">
              <w:rPr>
                <w:color w:val="000000"/>
                <w:sz w:val="18"/>
                <w:szCs w:val="18"/>
              </w:rPr>
              <w:br/>
            </w:r>
          </w:p>
        </w:tc>
        <w:tc>
          <w:tcPr>
            <w:tcW w:w="0" w:type="auto"/>
          </w:tcPr>
          <w:p w14:paraId="1A58A054"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2004; 208 POD cases</w:t>
            </w:r>
          </w:p>
        </w:tc>
        <w:tc>
          <w:tcPr>
            <w:tcW w:w="0" w:type="auto"/>
          </w:tcPr>
          <w:p w14:paraId="550B73CE"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0" w:type="auto"/>
          </w:tcPr>
          <w:p w14:paraId="33669601"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Younger patients more often from higher deprivation areas (not specific to POD)</w:t>
            </w:r>
          </w:p>
        </w:tc>
        <w:tc>
          <w:tcPr>
            <w:tcW w:w="1266" w:type="dxa"/>
          </w:tcPr>
          <w:p w14:paraId="01957AFC"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1853" w:type="dxa"/>
          </w:tcPr>
          <w:p w14:paraId="5E9BC81F"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POD-specific: </w:t>
            </w:r>
            <w:r w:rsidRPr="00EC21BD">
              <w:rPr>
                <w:color w:val="000000"/>
                <w:sz w:val="18"/>
                <w:szCs w:val="18"/>
              </w:rPr>
              <w:t>self-poisoning</w:t>
            </w:r>
          </w:p>
          <w:p w14:paraId="19593E68"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p>
          <w:p w14:paraId="0FBBE55D"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age/sex patterns (younger females more at risk)</w:t>
            </w:r>
          </w:p>
        </w:tc>
        <w:tc>
          <w:tcPr>
            <w:tcW w:w="1599" w:type="dxa"/>
          </w:tcPr>
          <w:p w14:paraId="365AE280"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Antidepressants; anxiolytics; opioids; SSRIs</w:t>
            </w:r>
          </w:p>
        </w:tc>
      </w:tr>
      <w:tr w:rsidR="003B06AA" w:rsidRPr="00EC21BD" w14:paraId="39416D26" w14:textId="77777777" w:rsidTr="003B06AA">
        <w:trPr>
          <w:trHeight w:val="2154"/>
          <w:jc w:val="center"/>
        </w:trPr>
        <w:tc>
          <w:tcPr>
            <w:tcW w:w="0" w:type="auto"/>
          </w:tcPr>
          <w:p w14:paraId="171A43B5"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Doak, 2009</w:t>
            </w:r>
          </w:p>
          <w:p w14:paraId="65A43F6F" w14:textId="42786835"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Self-poisoning in older adults: patterns of drug ingestion and clinical outcomes</w:t>
            </w:r>
          </w:p>
        </w:tc>
        <w:tc>
          <w:tcPr>
            <w:tcW w:w="1459" w:type="dxa"/>
          </w:tcPr>
          <w:p w14:paraId="69226681"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Scotland-Edinburgh</w:t>
            </w:r>
          </w:p>
        </w:tc>
        <w:tc>
          <w:tcPr>
            <w:tcW w:w="1459" w:type="dxa"/>
          </w:tcPr>
          <w:p w14:paraId="67C35341"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Retrospective Observational Study</w:t>
            </w:r>
          </w:p>
        </w:tc>
        <w:tc>
          <w:tcPr>
            <w:tcW w:w="0" w:type="auto"/>
          </w:tcPr>
          <w:p w14:paraId="4B5DD023"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Any age</w:t>
            </w:r>
          </w:p>
        </w:tc>
        <w:tc>
          <w:tcPr>
            <w:tcW w:w="0" w:type="auto"/>
          </w:tcPr>
          <w:p w14:paraId="69069B4A" w14:textId="47461192"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2004–2007; 8059 admissions</w:t>
            </w:r>
            <w:r w:rsidRPr="00EC21BD">
              <w:rPr>
                <w:color w:val="000000"/>
                <w:sz w:val="18"/>
                <w:szCs w:val="18"/>
              </w:rPr>
              <w:br/>
            </w:r>
            <w:r w:rsidRPr="00EC21BD">
              <w:rPr>
                <w:color w:val="000000"/>
                <w:sz w:val="18"/>
                <w:szCs w:val="18"/>
              </w:rPr>
              <w:br/>
            </w:r>
          </w:p>
        </w:tc>
        <w:tc>
          <w:tcPr>
            <w:tcW w:w="0" w:type="auto"/>
          </w:tcPr>
          <w:p w14:paraId="3D805826" w14:textId="77777777" w:rsidR="003B06AA" w:rsidRPr="00EC21BD" w:rsidRDefault="003B06AA" w:rsidP="00DE44B4">
            <w:pPr>
              <w:spacing w:after="0" w:line="240" w:lineRule="auto"/>
              <w:rPr>
                <w:color w:val="000000"/>
                <w:sz w:val="18"/>
                <w:szCs w:val="18"/>
              </w:rPr>
            </w:pPr>
            <w:proofErr w:type="gramStart"/>
            <w:r w:rsidRPr="00EC21BD">
              <w:rPr>
                <w:color w:val="000000"/>
                <w:sz w:val="18"/>
                <w:szCs w:val="18"/>
              </w:rPr>
              <w:t>2004-2007;</w:t>
            </w:r>
            <w:proofErr w:type="gramEnd"/>
          </w:p>
          <w:p w14:paraId="7FC283B7"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50yo: 3275 patients; 51-60yo: 289 patients; 61-70yo: 91 patients; &gt;70yo: 61 patients</w:t>
            </w:r>
          </w:p>
        </w:tc>
        <w:tc>
          <w:tcPr>
            <w:tcW w:w="0" w:type="auto"/>
          </w:tcPr>
          <w:p w14:paraId="6444027B"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0" w:type="auto"/>
          </w:tcPr>
          <w:p w14:paraId="20202464"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NR</w:t>
            </w:r>
          </w:p>
        </w:tc>
        <w:tc>
          <w:tcPr>
            <w:tcW w:w="1266" w:type="dxa"/>
          </w:tcPr>
          <w:p w14:paraId="0C20E5E6"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1853" w:type="dxa"/>
          </w:tcPr>
          <w:p w14:paraId="65206CAA"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POD-specific: </w:t>
            </w:r>
            <w:r w:rsidRPr="00EC21BD">
              <w:rPr>
                <w:color w:val="000000"/>
                <w:sz w:val="18"/>
                <w:szCs w:val="18"/>
              </w:rPr>
              <w:t>self-poisoning</w:t>
            </w:r>
          </w:p>
          <w:p w14:paraId="27F593DF"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p>
          <w:p w14:paraId="13368AE3"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women relying more on overdose as method of self-harm.</w:t>
            </w:r>
          </w:p>
        </w:tc>
        <w:tc>
          <w:tcPr>
            <w:tcW w:w="1599" w:type="dxa"/>
          </w:tcPr>
          <w:p w14:paraId="2E7AD4C6"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Alcohol</w:t>
            </w:r>
          </w:p>
        </w:tc>
      </w:tr>
      <w:tr w:rsidR="003B06AA" w:rsidRPr="00EC21BD" w14:paraId="67689C25" w14:textId="77777777" w:rsidTr="003B06AA">
        <w:trPr>
          <w:trHeight w:val="1701"/>
          <w:jc w:val="center"/>
        </w:trPr>
        <w:tc>
          <w:tcPr>
            <w:tcW w:w="0" w:type="auto"/>
          </w:tcPr>
          <w:p w14:paraId="1E050DA5"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Prescott, 2009</w:t>
            </w:r>
          </w:p>
          <w:p w14:paraId="42E92751" w14:textId="2042816A"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Detailed analyses of self-poisoning episodes presenting to a large regional teaching hospital in the UK</w:t>
            </w:r>
          </w:p>
        </w:tc>
        <w:tc>
          <w:tcPr>
            <w:tcW w:w="1459" w:type="dxa"/>
          </w:tcPr>
          <w:p w14:paraId="059626FF"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England-Nottingham</w:t>
            </w:r>
          </w:p>
        </w:tc>
        <w:tc>
          <w:tcPr>
            <w:tcW w:w="1459" w:type="dxa"/>
          </w:tcPr>
          <w:p w14:paraId="6C62AC92"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Retrospective observational study</w:t>
            </w:r>
          </w:p>
        </w:tc>
        <w:tc>
          <w:tcPr>
            <w:tcW w:w="0" w:type="auto"/>
          </w:tcPr>
          <w:p w14:paraId="20835620"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Young </w:t>
            </w:r>
            <w:r>
              <w:rPr>
                <w:color w:val="000000"/>
                <w:sz w:val="18"/>
                <w:szCs w:val="18"/>
              </w:rPr>
              <w:t>adults;</w:t>
            </w:r>
            <w:r w:rsidRPr="00EC21BD">
              <w:rPr>
                <w:color w:val="000000"/>
                <w:sz w:val="18"/>
                <w:szCs w:val="18"/>
              </w:rPr>
              <w:t xml:space="preserve"> Adults</w:t>
            </w:r>
            <w:r>
              <w:rPr>
                <w:color w:val="000000"/>
                <w:sz w:val="18"/>
                <w:szCs w:val="18"/>
              </w:rPr>
              <w:t>;</w:t>
            </w:r>
            <w:r w:rsidRPr="00EC21BD">
              <w:rPr>
                <w:color w:val="000000"/>
                <w:sz w:val="18"/>
                <w:szCs w:val="18"/>
              </w:rPr>
              <w:t xml:space="preserve"> Older adults</w:t>
            </w:r>
            <w:r w:rsidRPr="00EC21BD">
              <w:rPr>
                <w:color w:val="000000"/>
                <w:sz w:val="18"/>
                <w:szCs w:val="18"/>
              </w:rPr>
              <w:br/>
            </w:r>
          </w:p>
        </w:tc>
        <w:tc>
          <w:tcPr>
            <w:tcW w:w="0" w:type="auto"/>
          </w:tcPr>
          <w:p w14:paraId="698BD17B" w14:textId="661CE8DA"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2006–2007; 1598 episodes</w:t>
            </w:r>
            <w:r w:rsidRPr="00EC21BD">
              <w:rPr>
                <w:color w:val="000000"/>
                <w:sz w:val="18"/>
                <w:szCs w:val="18"/>
              </w:rPr>
              <w:br/>
            </w:r>
            <w:r w:rsidRPr="00EC21BD">
              <w:rPr>
                <w:color w:val="000000"/>
                <w:sz w:val="18"/>
                <w:szCs w:val="18"/>
              </w:rPr>
              <w:br/>
            </w:r>
          </w:p>
        </w:tc>
        <w:tc>
          <w:tcPr>
            <w:tcW w:w="0" w:type="auto"/>
          </w:tcPr>
          <w:p w14:paraId="33F03CF1" w14:textId="77777777" w:rsidR="003B06AA" w:rsidRPr="00EC21BD" w:rsidRDefault="003B06AA" w:rsidP="00DE44B4">
            <w:pPr>
              <w:spacing w:after="0" w:line="240" w:lineRule="auto"/>
              <w:rPr>
                <w:color w:val="000000"/>
                <w:sz w:val="18"/>
                <w:szCs w:val="18"/>
              </w:rPr>
            </w:pPr>
            <w:r w:rsidRPr="00EC21BD">
              <w:rPr>
                <w:color w:val="000000"/>
                <w:sz w:val="18"/>
                <w:szCs w:val="18"/>
              </w:rPr>
              <w:t>2006-2007:</w:t>
            </w:r>
          </w:p>
          <w:p w14:paraId="225EBA8D"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770 POD episodes </w:t>
            </w:r>
          </w:p>
        </w:tc>
        <w:tc>
          <w:tcPr>
            <w:tcW w:w="0" w:type="auto"/>
          </w:tcPr>
          <w:p w14:paraId="27277443"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NR</w:t>
            </w:r>
          </w:p>
        </w:tc>
        <w:tc>
          <w:tcPr>
            <w:tcW w:w="0" w:type="auto"/>
          </w:tcPr>
          <w:p w14:paraId="2FA3FB4B"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NR</w:t>
            </w:r>
          </w:p>
        </w:tc>
        <w:tc>
          <w:tcPr>
            <w:tcW w:w="1266" w:type="dxa"/>
          </w:tcPr>
          <w:p w14:paraId="40EC34A1" w14:textId="7DEF4130"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Self-purchased (</w:t>
            </w:r>
            <w:proofErr w:type="spellStart"/>
            <w:r w:rsidRPr="00EC21BD">
              <w:rPr>
                <w:color w:val="000000"/>
                <w:sz w:val="18"/>
                <w:szCs w:val="18"/>
              </w:rPr>
              <w:t>OTC</w:t>
            </w:r>
            <w:r w:rsidR="00F66FB0" w:rsidRPr="00F66FB0">
              <w:rPr>
                <w:color w:val="000000"/>
                <w:sz w:val="18"/>
                <w:szCs w:val="18"/>
                <w:vertAlign w:val="superscript"/>
              </w:rPr>
              <w:t>o</w:t>
            </w:r>
            <w:proofErr w:type="spellEnd"/>
            <w:r w:rsidRPr="00EC21BD">
              <w:rPr>
                <w:color w:val="000000"/>
                <w:sz w:val="18"/>
                <w:szCs w:val="18"/>
              </w:rPr>
              <w:t>)</w:t>
            </w:r>
          </w:p>
        </w:tc>
        <w:tc>
          <w:tcPr>
            <w:tcW w:w="1853" w:type="dxa"/>
          </w:tcPr>
          <w:p w14:paraId="40ABC9CC" w14:textId="77777777" w:rsidR="003B06AA" w:rsidRDefault="003B06AA" w:rsidP="00DE44B4">
            <w:pPr>
              <w:spacing w:after="0" w:line="240" w:lineRule="auto"/>
              <w:rPr>
                <w:b/>
                <w:bCs/>
                <w:color w:val="000000"/>
                <w:sz w:val="18"/>
                <w:szCs w:val="18"/>
              </w:rPr>
            </w:pPr>
            <w:r w:rsidRPr="00EC21BD">
              <w:rPr>
                <w:b/>
                <w:bCs/>
                <w:color w:val="000000"/>
                <w:sz w:val="18"/>
                <w:szCs w:val="18"/>
              </w:rPr>
              <w:t xml:space="preserve">POD-specific: </w:t>
            </w:r>
          </w:p>
          <w:p w14:paraId="196971A0" w14:textId="77777777" w:rsidR="003B06AA" w:rsidRPr="00EC21BD" w:rsidRDefault="003B06AA" w:rsidP="00DE44B4">
            <w:pPr>
              <w:spacing w:after="0" w:line="240" w:lineRule="auto"/>
              <w:rPr>
                <w:b/>
                <w:bCs/>
                <w:color w:val="000000"/>
                <w:sz w:val="18"/>
                <w:szCs w:val="18"/>
              </w:rPr>
            </w:pPr>
            <w:r w:rsidRPr="00EC21BD">
              <w:rPr>
                <w:color w:val="000000"/>
                <w:sz w:val="18"/>
                <w:szCs w:val="18"/>
              </w:rPr>
              <w:t>•self-poisoning; •availability</w:t>
            </w:r>
          </w:p>
          <w:p w14:paraId="7D38CAC8"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p>
          <w:p w14:paraId="06C85BB0"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none reported</w:t>
            </w:r>
          </w:p>
        </w:tc>
        <w:tc>
          <w:tcPr>
            <w:tcW w:w="1599" w:type="dxa"/>
          </w:tcPr>
          <w:p w14:paraId="4F721A52"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r>
      <w:tr w:rsidR="003B06AA" w:rsidRPr="00EC21BD" w14:paraId="153266B5" w14:textId="77777777" w:rsidTr="003B06AA">
        <w:trPr>
          <w:trHeight w:val="2098"/>
          <w:jc w:val="center"/>
        </w:trPr>
        <w:tc>
          <w:tcPr>
            <w:tcW w:w="0" w:type="auto"/>
          </w:tcPr>
          <w:p w14:paraId="333B27E9" w14:textId="326B6FEA" w:rsidR="003B06AA" w:rsidRPr="00EC21BD" w:rsidRDefault="003B06AA" w:rsidP="00DE44B4">
            <w:pPr>
              <w:spacing w:after="0" w:line="240" w:lineRule="auto"/>
              <w:rPr>
                <w:b/>
                <w:bCs/>
                <w:color w:val="000000"/>
                <w:sz w:val="18"/>
                <w:szCs w:val="18"/>
              </w:rPr>
            </w:pPr>
            <w:r w:rsidRPr="00EC21BD">
              <w:rPr>
                <w:b/>
                <w:bCs/>
                <w:color w:val="000000"/>
                <w:sz w:val="18"/>
                <w:szCs w:val="18"/>
              </w:rPr>
              <w:t>Laings, 2010</w:t>
            </w:r>
            <w:r w:rsidRPr="00EC21BD">
              <w:rPr>
                <w:color w:val="000000"/>
                <w:sz w:val="18"/>
                <w:szCs w:val="18"/>
              </w:rPr>
              <w:t xml:space="preserve"> Legislation and Acetaminophen Overdose in a UK Hospital 2000–2008. (2010 North American Congress of Clinical Toxicology, NACCT Annual Meeting</w:t>
            </w:r>
          </w:p>
          <w:p w14:paraId="7F76E1C5"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p>
        </w:tc>
        <w:tc>
          <w:tcPr>
            <w:tcW w:w="1459" w:type="dxa"/>
          </w:tcPr>
          <w:p w14:paraId="0EC03164"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Scotland-Edinburgh</w:t>
            </w:r>
          </w:p>
        </w:tc>
        <w:tc>
          <w:tcPr>
            <w:tcW w:w="1459" w:type="dxa"/>
          </w:tcPr>
          <w:p w14:paraId="7E336F50"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Poster presentation. Retrospective observational study</w:t>
            </w:r>
          </w:p>
        </w:tc>
        <w:tc>
          <w:tcPr>
            <w:tcW w:w="0" w:type="auto"/>
          </w:tcPr>
          <w:p w14:paraId="164253CA" w14:textId="77777777" w:rsidR="003B06AA" w:rsidRDefault="003B06AA" w:rsidP="00DE44B4">
            <w:pPr>
              <w:spacing w:after="0" w:line="240" w:lineRule="auto"/>
              <w:rPr>
                <w:color w:val="000000"/>
                <w:sz w:val="18"/>
                <w:szCs w:val="18"/>
              </w:rPr>
            </w:pPr>
            <w:proofErr w:type="gramStart"/>
            <w:r w:rsidRPr="00EC21BD">
              <w:rPr>
                <w:color w:val="000000"/>
                <w:sz w:val="18"/>
                <w:szCs w:val="18"/>
              </w:rPr>
              <w:t>Adult</w:t>
            </w:r>
            <w:r>
              <w:rPr>
                <w:color w:val="000000"/>
                <w:sz w:val="18"/>
                <w:szCs w:val="18"/>
              </w:rPr>
              <w:t>s;</w:t>
            </w:r>
            <w:proofErr w:type="gramEnd"/>
          </w:p>
          <w:p w14:paraId="09952C73"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Pr>
                <w:color w:val="000000"/>
                <w:sz w:val="18"/>
                <w:szCs w:val="18"/>
              </w:rPr>
              <w:t>O</w:t>
            </w:r>
            <w:r w:rsidRPr="00EC21BD">
              <w:rPr>
                <w:color w:val="000000"/>
                <w:sz w:val="18"/>
                <w:szCs w:val="18"/>
              </w:rPr>
              <w:t>lder adults</w:t>
            </w:r>
          </w:p>
        </w:tc>
        <w:tc>
          <w:tcPr>
            <w:tcW w:w="0" w:type="auto"/>
          </w:tcPr>
          <w:p w14:paraId="3AD6F6DE" w14:textId="7E1DD2BA"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2000–2008; 21605 cases</w:t>
            </w:r>
          </w:p>
        </w:tc>
        <w:tc>
          <w:tcPr>
            <w:tcW w:w="0" w:type="auto"/>
          </w:tcPr>
          <w:p w14:paraId="63C97A3D" w14:textId="77777777" w:rsidR="003B06AA" w:rsidRPr="00EC21BD" w:rsidRDefault="003B06AA" w:rsidP="00DE44B4">
            <w:pPr>
              <w:spacing w:after="0" w:line="240" w:lineRule="auto"/>
              <w:rPr>
                <w:color w:val="000000"/>
                <w:sz w:val="18"/>
                <w:szCs w:val="18"/>
              </w:rPr>
            </w:pPr>
            <w:proofErr w:type="gramStart"/>
            <w:r w:rsidRPr="00EC21BD">
              <w:rPr>
                <w:color w:val="000000"/>
                <w:sz w:val="18"/>
                <w:szCs w:val="18"/>
              </w:rPr>
              <w:t>2000-2008;</w:t>
            </w:r>
            <w:proofErr w:type="gramEnd"/>
          </w:p>
          <w:p w14:paraId="43635CF6" w14:textId="592A1A1D"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9436 cases (</w:t>
            </w:r>
            <w:proofErr w:type="spellStart"/>
            <w:r w:rsidRPr="00EC21BD">
              <w:rPr>
                <w:color w:val="000000"/>
                <w:sz w:val="18"/>
                <w:szCs w:val="18"/>
              </w:rPr>
              <w:t>APAP</w:t>
            </w:r>
            <w:r w:rsidR="00480A6D" w:rsidRPr="00480A6D">
              <w:rPr>
                <w:color w:val="000000"/>
                <w:sz w:val="18"/>
                <w:szCs w:val="18"/>
                <w:vertAlign w:val="superscript"/>
              </w:rPr>
              <w:t>n</w:t>
            </w:r>
            <w:proofErr w:type="spellEnd"/>
            <w:r w:rsidRPr="00480A6D">
              <w:rPr>
                <w:color w:val="000000"/>
                <w:sz w:val="18"/>
                <w:szCs w:val="18"/>
                <w:vertAlign w:val="superscript"/>
              </w:rPr>
              <w:t xml:space="preserve"> </w:t>
            </w:r>
            <w:r w:rsidRPr="00EC21BD">
              <w:rPr>
                <w:color w:val="000000"/>
                <w:sz w:val="18"/>
                <w:szCs w:val="18"/>
              </w:rPr>
              <w:t>alone)</w:t>
            </w:r>
          </w:p>
        </w:tc>
        <w:tc>
          <w:tcPr>
            <w:tcW w:w="0" w:type="auto"/>
          </w:tcPr>
          <w:p w14:paraId="55F22B4C"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Females predominated (F:M ratio 1.7); % not given</w:t>
            </w:r>
          </w:p>
        </w:tc>
        <w:tc>
          <w:tcPr>
            <w:tcW w:w="0" w:type="auto"/>
          </w:tcPr>
          <w:p w14:paraId="4673EBF5"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NR</w:t>
            </w:r>
          </w:p>
        </w:tc>
        <w:tc>
          <w:tcPr>
            <w:tcW w:w="1266" w:type="dxa"/>
          </w:tcPr>
          <w:p w14:paraId="682FFEAD"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NR</w:t>
            </w:r>
          </w:p>
        </w:tc>
        <w:tc>
          <w:tcPr>
            <w:tcW w:w="1853" w:type="dxa"/>
          </w:tcPr>
          <w:p w14:paraId="144A2989" w14:textId="77777777" w:rsidR="003B06AA" w:rsidRDefault="003B06AA" w:rsidP="00DE44B4">
            <w:pPr>
              <w:spacing w:after="0" w:line="240" w:lineRule="auto"/>
              <w:rPr>
                <w:b/>
                <w:bCs/>
                <w:color w:val="000000"/>
                <w:sz w:val="18"/>
                <w:szCs w:val="18"/>
              </w:rPr>
            </w:pPr>
            <w:r w:rsidRPr="00EC21BD">
              <w:rPr>
                <w:b/>
                <w:bCs/>
                <w:color w:val="000000"/>
                <w:sz w:val="18"/>
                <w:szCs w:val="18"/>
              </w:rPr>
              <w:t xml:space="preserve">POD-specific: </w:t>
            </w:r>
          </w:p>
          <w:p w14:paraId="7C283BD1" w14:textId="77777777" w:rsidR="003B06AA" w:rsidRPr="00EC21BD" w:rsidRDefault="003B06AA" w:rsidP="00DE44B4">
            <w:pPr>
              <w:spacing w:after="0" w:line="240" w:lineRule="auto"/>
              <w:rPr>
                <w:b/>
                <w:bCs/>
                <w:color w:val="000000"/>
                <w:sz w:val="18"/>
                <w:szCs w:val="18"/>
              </w:rPr>
            </w:pPr>
            <w:r w:rsidRPr="00EC21BD">
              <w:rPr>
                <w:color w:val="000000"/>
                <w:sz w:val="18"/>
                <w:szCs w:val="18"/>
              </w:rPr>
              <w:t>self-poisoning</w:t>
            </w:r>
          </w:p>
          <w:p w14:paraId="2E8BB2F8"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p>
          <w:p w14:paraId="405D9941"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none reported</w:t>
            </w:r>
          </w:p>
        </w:tc>
        <w:tc>
          <w:tcPr>
            <w:tcW w:w="1599" w:type="dxa"/>
          </w:tcPr>
          <w:p w14:paraId="61CD1F30"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Paracetamol with opioids/ibuprofen</w:t>
            </w:r>
          </w:p>
        </w:tc>
      </w:tr>
      <w:tr w:rsidR="003B06AA" w:rsidRPr="00EC21BD" w14:paraId="320892E0" w14:textId="77777777" w:rsidTr="003B06AA">
        <w:trPr>
          <w:trHeight w:val="1985"/>
          <w:jc w:val="center"/>
        </w:trPr>
        <w:tc>
          <w:tcPr>
            <w:tcW w:w="0" w:type="auto"/>
          </w:tcPr>
          <w:p w14:paraId="499AE14E"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Hawton, 2011</w:t>
            </w:r>
          </w:p>
          <w:p w14:paraId="55C245FA" w14:textId="5EB12485"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Impact of different pack sizes of paracetamol in the United Kingdom and Ireland on intentional overdoses: a comparative study</w:t>
            </w:r>
          </w:p>
        </w:tc>
        <w:tc>
          <w:tcPr>
            <w:tcW w:w="1459" w:type="dxa"/>
          </w:tcPr>
          <w:p w14:paraId="19035D17"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England and Ireland</w:t>
            </w:r>
          </w:p>
        </w:tc>
        <w:tc>
          <w:tcPr>
            <w:tcW w:w="1459" w:type="dxa"/>
          </w:tcPr>
          <w:p w14:paraId="311709F5"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Comparative observational study</w:t>
            </w:r>
          </w:p>
        </w:tc>
        <w:tc>
          <w:tcPr>
            <w:tcW w:w="0" w:type="auto"/>
          </w:tcPr>
          <w:p w14:paraId="5BE5C43C"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Any age</w:t>
            </w:r>
          </w:p>
        </w:tc>
        <w:tc>
          <w:tcPr>
            <w:tcW w:w="0" w:type="auto"/>
          </w:tcPr>
          <w:p w14:paraId="18A60F89" w14:textId="3F389DC8"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2002–2007; 31107 episodes (England)</w:t>
            </w:r>
          </w:p>
        </w:tc>
        <w:tc>
          <w:tcPr>
            <w:tcW w:w="0" w:type="auto"/>
          </w:tcPr>
          <w:p w14:paraId="35AEB72A" w14:textId="7A09D3ED"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2002-2007; England, 4858 POD episodes</w:t>
            </w:r>
          </w:p>
        </w:tc>
        <w:tc>
          <w:tcPr>
            <w:tcW w:w="0" w:type="auto"/>
          </w:tcPr>
          <w:p w14:paraId="0AB5892C"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64.3% (3122) female</w:t>
            </w:r>
          </w:p>
        </w:tc>
        <w:tc>
          <w:tcPr>
            <w:tcW w:w="0" w:type="auto"/>
          </w:tcPr>
          <w:p w14:paraId="715C1853"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1266" w:type="dxa"/>
          </w:tcPr>
          <w:p w14:paraId="751E22F5"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1853" w:type="dxa"/>
          </w:tcPr>
          <w:p w14:paraId="2030061E" w14:textId="77777777" w:rsidR="003B06AA" w:rsidRDefault="003B06AA" w:rsidP="00DE44B4">
            <w:pPr>
              <w:spacing w:after="0" w:line="240" w:lineRule="auto"/>
              <w:rPr>
                <w:b/>
                <w:bCs/>
                <w:color w:val="000000"/>
                <w:sz w:val="18"/>
                <w:szCs w:val="18"/>
              </w:rPr>
            </w:pPr>
            <w:r w:rsidRPr="00EC21BD">
              <w:rPr>
                <w:b/>
                <w:bCs/>
                <w:color w:val="000000"/>
                <w:sz w:val="18"/>
                <w:szCs w:val="18"/>
              </w:rPr>
              <w:t xml:space="preserve">POD-specific: </w:t>
            </w:r>
          </w:p>
          <w:p w14:paraId="6D678323" w14:textId="77777777" w:rsidR="003B06AA" w:rsidRDefault="003B06AA" w:rsidP="00DE44B4">
            <w:pPr>
              <w:spacing w:after="0" w:line="240" w:lineRule="auto"/>
              <w:rPr>
                <w:color w:val="000000"/>
                <w:sz w:val="18"/>
                <w:szCs w:val="18"/>
              </w:rPr>
            </w:pPr>
            <w:r w:rsidRPr="00EC21BD">
              <w:rPr>
                <w:color w:val="000000"/>
                <w:sz w:val="18"/>
                <w:szCs w:val="18"/>
              </w:rPr>
              <w:t>•self-poisoning •availability</w:t>
            </w:r>
          </w:p>
          <w:p w14:paraId="371ED88A" w14:textId="77777777" w:rsidR="003B06AA" w:rsidRPr="00EC21BD" w:rsidRDefault="003B06AA" w:rsidP="00DE44B4">
            <w:pPr>
              <w:spacing w:after="0" w:line="240" w:lineRule="auto"/>
              <w:rPr>
                <w:b/>
                <w:bCs/>
                <w:color w:val="000000"/>
                <w:sz w:val="18"/>
                <w:szCs w:val="18"/>
              </w:rPr>
            </w:pPr>
            <w:r w:rsidRPr="00EC21BD">
              <w:rPr>
                <w:color w:val="000000"/>
                <w:sz w:val="18"/>
                <w:szCs w:val="18"/>
              </w:rPr>
              <w:t>•ingestion related to pack size</w:t>
            </w:r>
          </w:p>
          <w:p w14:paraId="356605AB"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p>
          <w:p w14:paraId="25F43B4D"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none reported</w:t>
            </w:r>
          </w:p>
        </w:tc>
        <w:tc>
          <w:tcPr>
            <w:tcW w:w="1599" w:type="dxa"/>
          </w:tcPr>
          <w:p w14:paraId="2593CC12"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Alcohol </w:t>
            </w:r>
          </w:p>
        </w:tc>
      </w:tr>
      <w:tr w:rsidR="003B06AA" w:rsidRPr="00EC21BD" w14:paraId="5C4DAD78" w14:textId="77777777" w:rsidTr="003B06AA">
        <w:trPr>
          <w:trHeight w:val="1531"/>
          <w:jc w:val="center"/>
        </w:trPr>
        <w:tc>
          <w:tcPr>
            <w:tcW w:w="0" w:type="auto"/>
          </w:tcPr>
          <w:p w14:paraId="0DF76808" w14:textId="77777777" w:rsidR="003B06AA" w:rsidRPr="00EC21BD" w:rsidRDefault="003B06AA" w:rsidP="00DE44B4">
            <w:pPr>
              <w:spacing w:after="0" w:line="240" w:lineRule="auto"/>
              <w:rPr>
                <w:b/>
                <w:bCs/>
                <w:color w:val="000000"/>
                <w:sz w:val="18"/>
                <w:szCs w:val="18"/>
              </w:rPr>
            </w:pPr>
            <w:r w:rsidRPr="00EC21BD">
              <w:rPr>
                <w:b/>
                <w:bCs/>
                <w:color w:val="000000"/>
                <w:sz w:val="18"/>
                <w:szCs w:val="18"/>
              </w:rPr>
              <w:lastRenderedPageBreak/>
              <w:t>Clark, 2011</w:t>
            </w:r>
          </w:p>
          <w:p w14:paraId="675EA769" w14:textId="62F8F8BC"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Epidemiology and outcomes of patients admitted to critical care after self</w:t>
            </w:r>
            <w:r w:rsidR="005154FB">
              <w:rPr>
                <w:color w:val="000000"/>
                <w:sz w:val="18"/>
                <w:szCs w:val="18"/>
              </w:rPr>
              <w:t>-</w:t>
            </w:r>
            <w:r w:rsidRPr="00EC21BD">
              <w:rPr>
                <w:color w:val="000000"/>
                <w:sz w:val="18"/>
                <w:szCs w:val="18"/>
              </w:rPr>
              <w:t>poisoning</w:t>
            </w:r>
          </w:p>
        </w:tc>
        <w:tc>
          <w:tcPr>
            <w:tcW w:w="1459" w:type="dxa"/>
          </w:tcPr>
          <w:p w14:paraId="3549634D"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Scotland-Edinburgh</w:t>
            </w:r>
          </w:p>
        </w:tc>
        <w:tc>
          <w:tcPr>
            <w:tcW w:w="1459" w:type="dxa"/>
          </w:tcPr>
          <w:p w14:paraId="5B7359FC"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Retrospective observational study</w:t>
            </w:r>
          </w:p>
        </w:tc>
        <w:tc>
          <w:tcPr>
            <w:tcW w:w="0" w:type="auto"/>
          </w:tcPr>
          <w:p w14:paraId="735010A7"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Any age</w:t>
            </w:r>
            <w:r w:rsidRPr="00EC21BD">
              <w:rPr>
                <w:color w:val="000000"/>
                <w:sz w:val="18"/>
                <w:szCs w:val="18"/>
              </w:rPr>
              <w:br/>
            </w:r>
            <w:r w:rsidRPr="00EC21BD">
              <w:rPr>
                <w:color w:val="000000"/>
                <w:sz w:val="18"/>
                <w:szCs w:val="18"/>
              </w:rPr>
              <w:br/>
            </w:r>
          </w:p>
        </w:tc>
        <w:tc>
          <w:tcPr>
            <w:tcW w:w="0" w:type="auto"/>
          </w:tcPr>
          <w:p w14:paraId="619BDD63" w14:textId="661415DE"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2005–2009; 12702 admissions</w:t>
            </w:r>
          </w:p>
        </w:tc>
        <w:tc>
          <w:tcPr>
            <w:tcW w:w="0" w:type="auto"/>
          </w:tcPr>
          <w:p w14:paraId="33890F95" w14:textId="77777777" w:rsidR="003B06AA" w:rsidRPr="00EC21BD" w:rsidRDefault="003B06AA" w:rsidP="00DE44B4">
            <w:pPr>
              <w:spacing w:after="0" w:line="240" w:lineRule="auto"/>
              <w:rPr>
                <w:color w:val="000000"/>
                <w:sz w:val="18"/>
                <w:szCs w:val="18"/>
              </w:rPr>
            </w:pPr>
            <w:proofErr w:type="gramStart"/>
            <w:r w:rsidRPr="00EC21BD">
              <w:rPr>
                <w:color w:val="000000"/>
                <w:sz w:val="18"/>
                <w:szCs w:val="18"/>
              </w:rPr>
              <w:t>2005-2009;</w:t>
            </w:r>
            <w:proofErr w:type="gramEnd"/>
          </w:p>
          <w:p w14:paraId="2C27A132"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90 POD cases</w:t>
            </w:r>
          </w:p>
        </w:tc>
        <w:tc>
          <w:tcPr>
            <w:tcW w:w="0" w:type="auto"/>
          </w:tcPr>
          <w:p w14:paraId="075FBB62"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23% (46) females</w:t>
            </w:r>
          </w:p>
        </w:tc>
        <w:tc>
          <w:tcPr>
            <w:tcW w:w="0" w:type="auto"/>
          </w:tcPr>
          <w:p w14:paraId="7EA44543"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NR</w:t>
            </w:r>
          </w:p>
        </w:tc>
        <w:tc>
          <w:tcPr>
            <w:tcW w:w="1266" w:type="dxa"/>
          </w:tcPr>
          <w:p w14:paraId="7F02110C"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1853" w:type="dxa"/>
          </w:tcPr>
          <w:p w14:paraId="0D55075A" w14:textId="77777777" w:rsidR="003B06AA" w:rsidRDefault="003B06AA" w:rsidP="00DE44B4">
            <w:pPr>
              <w:spacing w:after="0" w:line="240" w:lineRule="auto"/>
              <w:rPr>
                <w:b/>
                <w:bCs/>
                <w:color w:val="000000"/>
                <w:sz w:val="18"/>
                <w:szCs w:val="18"/>
              </w:rPr>
            </w:pPr>
            <w:r w:rsidRPr="00EC21BD">
              <w:rPr>
                <w:b/>
                <w:bCs/>
                <w:color w:val="000000"/>
                <w:sz w:val="18"/>
                <w:szCs w:val="18"/>
              </w:rPr>
              <w:t xml:space="preserve">POD-specific: </w:t>
            </w:r>
          </w:p>
          <w:p w14:paraId="1207C344" w14:textId="77777777" w:rsidR="003B06AA" w:rsidRPr="00EC21BD" w:rsidRDefault="003B06AA" w:rsidP="00DE44B4">
            <w:pPr>
              <w:spacing w:after="0" w:line="240" w:lineRule="auto"/>
              <w:rPr>
                <w:b/>
                <w:bCs/>
                <w:color w:val="000000"/>
                <w:sz w:val="18"/>
                <w:szCs w:val="18"/>
              </w:rPr>
            </w:pPr>
            <w:r w:rsidRPr="00EC21BD">
              <w:rPr>
                <w:color w:val="000000"/>
                <w:sz w:val="18"/>
                <w:szCs w:val="18"/>
              </w:rPr>
              <w:t>self-poisoning</w:t>
            </w:r>
          </w:p>
          <w:p w14:paraId="4EDACAB0"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p>
          <w:p w14:paraId="3A9EAA9D"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none reported</w:t>
            </w:r>
          </w:p>
        </w:tc>
        <w:tc>
          <w:tcPr>
            <w:tcW w:w="1599" w:type="dxa"/>
          </w:tcPr>
          <w:p w14:paraId="7404195B"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Alcohol; illicit drugs; cleaning fluid</w:t>
            </w:r>
          </w:p>
        </w:tc>
      </w:tr>
      <w:tr w:rsidR="003B06AA" w:rsidRPr="00EC21BD" w14:paraId="4523F060" w14:textId="77777777" w:rsidTr="003B06AA">
        <w:trPr>
          <w:trHeight w:val="1928"/>
          <w:jc w:val="center"/>
        </w:trPr>
        <w:tc>
          <w:tcPr>
            <w:tcW w:w="0" w:type="auto"/>
          </w:tcPr>
          <w:p w14:paraId="2B04C6B6" w14:textId="046B3764"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b/>
                <w:bCs/>
                <w:color w:val="000000"/>
                <w:sz w:val="18"/>
                <w:szCs w:val="18"/>
              </w:rPr>
              <w:t>Hawton, 2012</w:t>
            </w:r>
            <w:r w:rsidRPr="00EC21BD">
              <w:rPr>
                <w:color w:val="000000"/>
                <w:sz w:val="18"/>
                <w:szCs w:val="18"/>
              </w:rPr>
              <w:t xml:space="preserve"> Epidemiology and nature of self-harm in children and adolescents: findings from the multicentre study of self-harm in England</w:t>
            </w:r>
          </w:p>
        </w:tc>
        <w:tc>
          <w:tcPr>
            <w:tcW w:w="1459" w:type="dxa"/>
          </w:tcPr>
          <w:p w14:paraId="71480017"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England-Oxford, Manchester, Derby</w:t>
            </w:r>
            <w:r w:rsidRPr="00EC21BD">
              <w:rPr>
                <w:color w:val="000000"/>
                <w:sz w:val="18"/>
                <w:szCs w:val="18"/>
              </w:rPr>
              <w:br/>
            </w:r>
            <w:r w:rsidRPr="00EC21BD">
              <w:rPr>
                <w:color w:val="000000"/>
                <w:sz w:val="18"/>
                <w:szCs w:val="18"/>
              </w:rPr>
              <w:br/>
            </w:r>
          </w:p>
        </w:tc>
        <w:tc>
          <w:tcPr>
            <w:tcW w:w="1459" w:type="dxa"/>
          </w:tcPr>
          <w:p w14:paraId="72387999"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Retrospective observational study</w:t>
            </w:r>
          </w:p>
        </w:tc>
        <w:tc>
          <w:tcPr>
            <w:tcW w:w="0" w:type="auto"/>
          </w:tcPr>
          <w:p w14:paraId="7B9DDD89"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Children and Young </w:t>
            </w:r>
            <w:r>
              <w:rPr>
                <w:color w:val="000000"/>
                <w:sz w:val="18"/>
                <w:szCs w:val="18"/>
              </w:rPr>
              <w:t>adults</w:t>
            </w:r>
            <w:r w:rsidRPr="00EC21BD">
              <w:rPr>
                <w:color w:val="000000"/>
                <w:sz w:val="18"/>
                <w:szCs w:val="18"/>
              </w:rPr>
              <w:br/>
            </w:r>
            <w:r w:rsidRPr="00EC21BD">
              <w:rPr>
                <w:color w:val="000000"/>
                <w:sz w:val="18"/>
                <w:szCs w:val="18"/>
              </w:rPr>
              <w:br/>
            </w:r>
          </w:p>
        </w:tc>
        <w:tc>
          <w:tcPr>
            <w:tcW w:w="0" w:type="auto"/>
          </w:tcPr>
          <w:p w14:paraId="7248D3D1" w14:textId="7C6DF878"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2000–2007; 7150 episodes (5205 individuals)</w:t>
            </w:r>
          </w:p>
        </w:tc>
        <w:tc>
          <w:tcPr>
            <w:tcW w:w="0" w:type="auto"/>
          </w:tcPr>
          <w:p w14:paraId="6EF2ED49" w14:textId="21E20C01" w:rsidR="003B06AA" w:rsidRPr="00EC21BD" w:rsidRDefault="003B06AA" w:rsidP="00DE44B4">
            <w:pPr>
              <w:spacing w:after="0" w:line="240" w:lineRule="auto"/>
              <w:rPr>
                <w:color w:val="000000"/>
                <w:sz w:val="18"/>
                <w:szCs w:val="18"/>
              </w:rPr>
            </w:pPr>
            <w:r w:rsidRPr="00EC21BD">
              <w:rPr>
                <w:color w:val="000000"/>
                <w:sz w:val="18"/>
                <w:szCs w:val="18"/>
              </w:rPr>
              <w:t>2000-2007; 3343 POD episodes (58.2%)</w:t>
            </w:r>
          </w:p>
        </w:tc>
        <w:tc>
          <w:tcPr>
            <w:tcW w:w="0" w:type="auto"/>
          </w:tcPr>
          <w:p w14:paraId="78860D2A"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0" w:type="auto"/>
          </w:tcPr>
          <w:p w14:paraId="49B40A01"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NR</w:t>
            </w:r>
          </w:p>
        </w:tc>
        <w:tc>
          <w:tcPr>
            <w:tcW w:w="1266" w:type="dxa"/>
          </w:tcPr>
          <w:p w14:paraId="1AF0AB0C"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1853" w:type="dxa"/>
          </w:tcPr>
          <w:p w14:paraId="1DDEA74E" w14:textId="77777777" w:rsidR="003B06AA" w:rsidRDefault="003B06AA" w:rsidP="00DE44B4">
            <w:pPr>
              <w:spacing w:after="0" w:line="240" w:lineRule="auto"/>
              <w:rPr>
                <w:b/>
                <w:bCs/>
                <w:color w:val="000000"/>
                <w:sz w:val="18"/>
                <w:szCs w:val="18"/>
              </w:rPr>
            </w:pPr>
            <w:r w:rsidRPr="00EC21BD">
              <w:rPr>
                <w:b/>
                <w:bCs/>
                <w:color w:val="000000"/>
                <w:sz w:val="18"/>
                <w:szCs w:val="18"/>
              </w:rPr>
              <w:t xml:space="preserve">POD-specific: </w:t>
            </w:r>
          </w:p>
          <w:p w14:paraId="01C51ACE" w14:textId="77777777" w:rsidR="003B06AA" w:rsidRPr="00EC21BD" w:rsidRDefault="003B06AA" w:rsidP="00DE44B4">
            <w:pPr>
              <w:spacing w:after="0" w:line="240" w:lineRule="auto"/>
              <w:rPr>
                <w:b/>
                <w:bCs/>
                <w:color w:val="000000"/>
                <w:sz w:val="18"/>
                <w:szCs w:val="18"/>
              </w:rPr>
            </w:pPr>
            <w:r w:rsidRPr="00EC21BD">
              <w:rPr>
                <w:color w:val="000000"/>
                <w:sz w:val="18"/>
                <w:szCs w:val="18"/>
              </w:rPr>
              <w:t>self-poisoning</w:t>
            </w:r>
          </w:p>
          <w:p w14:paraId="01A1FE8C"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p>
          <w:p w14:paraId="3EAEECB2"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none reported</w:t>
            </w:r>
          </w:p>
        </w:tc>
        <w:tc>
          <w:tcPr>
            <w:tcW w:w="1599" w:type="dxa"/>
          </w:tcPr>
          <w:p w14:paraId="57BB3D1A"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Alcohol; </w:t>
            </w:r>
            <w:r>
              <w:rPr>
                <w:color w:val="000000"/>
                <w:sz w:val="18"/>
                <w:szCs w:val="18"/>
              </w:rPr>
              <w:t xml:space="preserve">multiple </w:t>
            </w:r>
            <w:r w:rsidRPr="00EC21BD">
              <w:rPr>
                <w:color w:val="000000"/>
                <w:sz w:val="18"/>
                <w:szCs w:val="18"/>
              </w:rPr>
              <w:t>medications</w:t>
            </w:r>
          </w:p>
        </w:tc>
      </w:tr>
      <w:tr w:rsidR="003B06AA" w:rsidRPr="00EC21BD" w14:paraId="41493EB4" w14:textId="77777777" w:rsidTr="003B06AA">
        <w:trPr>
          <w:trHeight w:val="1757"/>
          <w:jc w:val="center"/>
        </w:trPr>
        <w:tc>
          <w:tcPr>
            <w:tcW w:w="0" w:type="auto"/>
          </w:tcPr>
          <w:p w14:paraId="0EC97C3A"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Armstrong, 2012</w:t>
            </w:r>
          </w:p>
          <w:p w14:paraId="62AF7F61" w14:textId="2038AACE"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Comparative drug dose and drug combinations in patients that present to hospital due to self-poisoning</w:t>
            </w:r>
          </w:p>
        </w:tc>
        <w:tc>
          <w:tcPr>
            <w:tcW w:w="1459" w:type="dxa"/>
          </w:tcPr>
          <w:p w14:paraId="01B6A2EE"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England-York</w:t>
            </w:r>
          </w:p>
        </w:tc>
        <w:tc>
          <w:tcPr>
            <w:tcW w:w="1459" w:type="dxa"/>
          </w:tcPr>
          <w:p w14:paraId="56952D25"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Retrospective observational study</w:t>
            </w:r>
          </w:p>
        </w:tc>
        <w:tc>
          <w:tcPr>
            <w:tcW w:w="0" w:type="auto"/>
          </w:tcPr>
          <w:p w14:paraId="33F1D67C"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Young </w:t>
            </w:r>
            <w:r>
              <w:rPr>
                <w:color w:val="000000"/>
                <w:sz w:val="18"/>
                <w:szCs w:val="18"/>
              </w:rPr>
              <w:t>adults;</w:t>
            </w:r>
            <w:r w:rsidRPr="00EC21BD">
              <w:rPr>
                <w:color w:val="000000"/>
                <w:sz w:val="18"/>
                <w:szCs w:val="18"/>
              </w:rPr>
              <w:t xml:space="preserve"> Adults</w:t>
            </w:r>
            <w:r>
              <w:rPr>
                <w:color w:val="000000"/>
                <w:sz w:val="18"/>
                <w:szCs w:val="18"/>
              </w:rPr>
              <w:t>;</w:t>
            </w:r>
            <w:r w:rsidRPr="00EC21BD">
              <w:rPr>
                <w:color w:val="000000"/>
                <w:sz w:val="18"/>
                <w:szCs w:val="18"/>
              </w:rPr>
              <w:t xml:space="preserve"> Older adults</w:t>
            </w:r>
          </w:p>
        </w:tc>
        <w:tc>
          <w:tcPr>
            <w:tcW w:w="0" w:type="auto"/>
          </w:tcPr>
          <w:p w14:paraId="5FBE2F0F" w14:textId="77F3584E"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2010–2011; 1024 cases</w:t>
            </w:r>
          </w:p>
        </w:tc>
        <w:tc>
          <w:tcPr>
            <w:tcW w:w="0" w:type="auto"/>
          </w:tcPr>
          <w:p w14:paraId="1E202E63"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2010-2011;</w:t>
            </w:r>
            <w:r w:rsidRPr="00EC21BD">
              <w:t xml:space="preserve"> </w:t>
            </w:r>
            <w:r w:rsidRPr="00EC21BD">
              <w:rPr>
                <w:color w:val="000000"/>
                <w:sz w:val="18"/>
                <w:szCs w:val="18"/>
              </w:rPr>
              <w:t>488 POD cases</w:t>
            </w:r>
          </w:p>
        </w:tc>
        <w:tc>
          <w:tcPr>
            <w:tcW w:w="0" w:type="auto"/>
          </w:tcPr>
          <w:p w14:paraId="53A060EF"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50.3% (313) female</w:t>
            </w:r>
          </w:p>
        </w:tc>
        <w:tc>
          <w:tcPr>
            <w:tcW w:w="0" w:type="auto"/>
          </w:tcPr>
          <w:p w14:paraId="4AB389EA"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NR</w:t>
            </w:r>
          </w:p>
        </w:tc>
        <w:tc>
          <w:tcPr>
            <w:tcW w:w="1266" w:type="dxa"/>
          </w:tcPr>
          <w:p w14:paraId="64BEAEB9"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1853" w:type="dxa"/>
          </w:tcPr>
          <w:p w14:paraId="0241CB73" w14:textId="77777777" w:rsidR="003B06AA" w:rsidRDefault="003B06AA" w:rsidP="00DE44B4">
            <w:pPr>
              <w:spacing w:after="0" w:line="240" w:lineRule="auto"/>
              <w:rPr>
                <w:b/>
                <w:bCs/>
                <w:color w:val="000000"/>
                <w:sz w:val="18"/>
                <w:szCs w:val="18"/>
              </w:rPr>
            </w:pPr>
            <w:r w:rsidRPr="00EC21BD">
              <w:rPr>
                <w:b/>
                <w:bCs/>
                <w:color w:val="000000"/>
                <w:sz w:val="18"/>
                <w:szCs w:val="18"/>
              </w:rPr>
              <w:t xml:space="preserve">POD-specific: </w:t>
            </w:r>
          </w:p>
          <w:p w14:paraId="31269EE5" w14:textId="77777777" w:rsidR="003B06AA" w:rsidRPr="00EC21BD" w:rsidRDefault="003B06AA" w:rsidP="00DE44B4">
            <w:pPr>
              <w:spacing w:after="0" w:line="240" w:lineRule="auto"/>
              <w:rPr>
                <w:b/>
                <w:bCs/>
                <w:color w:val="000000"/>
                <w:sz w:val="18"/>
                <w:szCs w:val="18"/>
              </w:rPr>
            </w:pPr>
            <w:r w:rsidRPr="00EC21BD">
              <w:rPr>
                <w:color w:val="000000"/>
                <w:sz w:val="18"/>
                <w:szCs w:val="18"/>
              </w:rPr>
              <w:t>self-poisoning</w:t>
            </w:r>
          </w:p>
          <w:p w14:paraId="31AA7FCD"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p>
          <w:p w14:paraId="74F5A653"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none reported</w:t>
            </w:r>
          </w:p>
        </w:tc>
        <w:tc>
          <w:tcPr>
            <w:tcW w:w="1599" w:type="dxa"/>
          </w:tcPr>
          <w:p w14:paraId="0EFAA99A"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Multiple medications </w:t>
            </w:r>
          </w:p>
        </w:tc>
      </w:tr>
      <w:tr w:rsidR="003B06AA" w:rsidRPr="00EC21BD" w14:paraId="1AA3F595" w14:textId="77777777" w:rsidTr="003B06AA">
        <w:trPr>
          <w:trHeight w:val="1531"/>
          <w:jc w:val="center"/>
        </w:trPr>
        <w:tc>
          <w:tcPr>
            <w:tcW w:w="0" w:type="auto"/>
          </w:tcPr>
          <w:p w14:paraId="31F75D5A"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Gunnell, 2013</w:t>
            </w:r>
          </w:p>
          <w:p w14:paraId="79C516FD" w14:textId="77777777" w:rsidR="003B06AA" w:rsidRPr="00EC21BD" w:rsidRDefault="003B06AA" w:rsidP="00DE44B4">
            <w:pPr>
              <w:spacing w:after="0" w:line="240" w:lineRule="auto"/>
              <w:rPr>
                <w:color w:val="000000"/>
                <w:sz w:val="18"/>
                <w:szCs w:val="18"/>
              </w:rPr>
            </w:pPr>
            <w:r w:rsidRPr="00EC21BD">
              <w:rPr>
                <w:color w:val="000000"/>
                <w:sz w:val="18"/>
                <w:szCs w:val="18"/>
              </w:rPr>
              <w:t>Programme Grants for Applied Research:</w:t>
            </w:r>
          </w:p>
          <w:p w14:paraId="190FEB30" w14:textId="38FD7282"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STUDY 2:</w:t>
            </w:r>
            <w:r w:rsidRPr="00EC21BD">
              <w:rPr>
                <w:b/>
                <w:bCs/>
                <w:color w:val="000000"/>
                <w:sz w:val="18"/>
                <w:szCs w:val="18"/>
              </w:rPr>
              <w:t xml:space="preserve"> </w:t>
            </w:r>
            <w:r w:rsidRPr="00EC21BD">
              <w:rPr>
                <w:color w:val="000000"/>
                <w:sz w:val="18"/>
                <w:szCs w:val="18"/>
              </w:rPr>
              <w:t>An interview study of patients who have taken larger paracetamol overdoses</w:t>
            </w:r>
            <w:r w:rsidRPr="00EC21BD">
              <w:rPr>
                <w:color w:val="000000"/>
                <w:sz w:val="18"/>
                <w:szCs w:val="18"/>
              </w:rPr>
              <w:br/>
            </w:r>
          </w:p>
        </w:tc>
        <w:tc>
          <w:tcPr>
            <w:tcW w:w="1459" w:type="dxa"/>
          </w:tcPr>
          <w:p w14:paraId="12BE4CE8"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STUDY 2: England-Oxford</w:t>
            </w:r>
          </w:p>
        </w:tc>
        <w:tc>
          <w:tcPr>
            <w:tcW w:w="1459" w:type="dxa"/>
          </w:tcPr>
          <w:p w14:paraId="29992A2A"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Linked research studies on self-harm</w:t>
            </w:r>
          </w:p>
        </w:tc>
        <w:tc>
          <w:tcPr>
            <w:tcW w:w="0" w:type="auto"/>
          </w:tcPr>
          <w:p w14:paraId="73F3447A" w14:textId="77777777" w:rsidR="003B06AA" w:rsidRPr="00EC21BD" w:rsidRDefault="003B06AA" w:rsidP="00DE44B4">
            <w:pPr>
              <w:spacing w:after="0" w:line="240" w:lineRule="auto"/>
              <w:rPr>
                <w:color w:val="000000"/>
                <w:sz w:val="18"/>
                <w:szCs w:val="18"/>
              </w:rPr>
            </w:pPr>
            <w:r w:rsidRPr="00EC21BD">
              <w:rPr>
                <w:color w:val="000000"/>
                <w:sz w:val="18"/>
                <w:szCs w:val="18"/>
              </w:rPr>
              <w:t>STUDY 2:</w:t>
            </w:r>
            <w:r w:rsidRPr="00EC21BD">
              <w:rPr>
                <w:color w:val="000000"/>
                <w:sz w:val="18"/>
                <w:szCs w:val="18"/>
              </w:rPr>
              <w:br/>
              <w:t xml:space="preserve">Young </w:t>
            </w:r>
            <w:r>
              <w:rPr>
                <w:color w:val="000000"/>
                <w:sz w:val="18"/>
                <w:szCs w:val="18"/>
              </w:rPr>
              <w:t>adults;</w:t>
            </w:r>
            <w:r w:rsidRPr="00EC21BD">
              <w:rPr>
                <w:color w:val="000000"/>
                <w:sz w:val="18"/>
                <w:szCs w:val="18"/>
              </w:rPr>
              <w:t xml:space="preserve"> Adults</w:t>
            </w:r>
            <w:r>
              <w:rPr>
                <w:color w:val="000000"/>
                <w:sz w:val="18"/>
                <w:szCs w:val="18"/>
              </w:rPr>
              <w:t>;</w:t>
            </w:r>
            <w:r w:rsidRPr="00EC21BD">
              <w:rPr>
                <w:color w:val="000000"/>
                <w:sz w:val="18"/>
                <w:szCs w:val="18"/>
              </w:rPr>
              <w:t xml:space="preserve"> Older adults</w:t>
            </w:r>
          </w:p>
        </w:tc>
        <w:tc>
          <w:tcPr>
            <w:tcW w:w="0" w:type="auto"/>
          </w:tcPr>
          <w:p w14:paraId="5696F780" w14:textId="77777777" w:rsidR="003B06AA" w:rsidRPr="00EC21BD" w:rsidRDefault="003B06AA" w:rsidP="00DE44B4">
            <w:pPr>
              <w:spacing w:after="0" w:line="240" w:lineRule="auto"/>
              <w:rPr>
                <w:color w:val="000000"/>
                <w:sz w:val="18"/>
                <w:szCs w:val="18"/>
              </w:rPr>
            </w:pPr>
            <w:r w:rsidRPr="00EC21BD">
              <w:rPr>
                <w:color w:val="000000"/>
                <w:sz w:val="18"/>
                <w:szCs w:val="18"/>
              </w:rPr>
              <w:t xml:space="preserve">STUDY 2: </w:t>
            </w:r>
            <w:r w:rsidRPr="00EC21BD">
              <w:rPr>
                <w:color w:val="000000"/>
                <w:sz w:val="18"/>
                <w:szCs w:val="18"/>
              </w:rPr>
              <w:br/>
              <w:t>2008-</w:t>
            </w:r>
            <w:proofErr w:type="gramStart"/>
            <w:r w:rsidRPr="00EC21BD">
              <w:rPr>
                <w:color w:val="000000"/>
                <w:sz w:val="18"/>
                <w:szCs w:val="18"/>
              </w:rPr>
              <w:t>2010;</w:t>
            </w:r>
            <w:proofErr w:type="gramEnd"/>
          </w:p>
          <w:p w14:paraId="78A1DB03" w14:textId="77777777" w:rsidR="003B06AA" w:rsidRPr="00EC21BD" w:rsidRDefault="003B06AA" w:rsidP="00DE44B4">
            <w:pPr>
              <w:spacing w:after="0" w:line="240" w:lineRule="auto"/>
              <w:rPr>
                <w:color w:val="000000"/>
                <w:sz w:val="18"/>
                <w:szCs w:val="18"/>
              </w:rPr>
            </w:pPr>
            <w:r w:rsidRPr="00EC21BD">
              <w:rPr>
                <w:color w:val="000000"/>
                <w:sz w:val="18"/>
                <w:szCs w:val="18"/>
              </w:rPr>
              <w:t>60 individuals</w:t>
            </w:r>
          </w:p>
        </w:tc>
        <w:tc>
          <w:tcPr>
            <w:tcW w:w="0" w:type="auto"/>
          </w:tcPr>
          <w:p w14:paraId="745C0968" w14:textId="77777777" w:rsidR="003B06AA" w:rsidRPr="00EC21BD" w:rsidRDefault="003B06AA" w:rsidP="00DE44B4">
            <w:pPr>
              <w:spacing w:after="0" w:line="240" w:lineRule="auto"/>
              <w:rPr>
                <w:color w:val="000000"/>
                <w:sz w:val="18"/>
                <w:szCs w:val="18"/>
              </w:rPr>
            </w:pPr>
            <w:r w:rsidRPr="00EC21BD">
              <w:rPr>
                <w:color w:val="000000"/>
                <w:sz w:val="18"/>
                <w:szCs w:val="18"/>
              </w:rPr>
              <w:t>STUDY 2</w:t>
            </w:r>
          </w:p>
          <w:p w14:paraId="09E1DCC9" w14:textId="77777777" w:rsidR="003B06AA" w:rsidRPr="00EC21BD" w:rsidRDefault="003B06AA" w:rsidP="00DE44B4">
            <w:pPr>
              <w:spacing w:after="0" w:line="240" w:lineRule="auto"/>
              <w:rPr>
                <w:color w:val="000000"/>
                <w:sz w:val="18"/>
                <w:szCs w:val="18"/>
              </w:rPr>
            </w:pPr>
            <w:r w:rsidRPr="00EC21BD">
              <w:rPr>
                <w:color w:val="000000"/>
                <w:sz w:val="18"/>
                <w:szCs w:val="18"/>
              </w:rPr>
              <w:t>2008-2010;</w:t>
            </w:r>
            <w:r w:rsidRPr="00EC21BD">
              <w:rPr>
                <w:color w:val="000000"/>
                <w:sz w:val="18"/>
                <w:szCs w:val="18"/>
              </w:rPr>
              <w:br/>
              <w:t>60 POD cases</w:t>
            </w:r>
          </w:p>
        </w:tc>
        <w:tc>
          <w:tcPr>
            <w:tcW w:w="0" w:type="auto"/>
          </w:tcPr>
          <w:p w14:paraId="38DFC431" w14:textId="77777777" w:rsidR="003B06AA" w:rsidRPr="00EC21BD" w:rsidRDefault="003B06AA" w:rsidP="00DE44B4">
            <w:pPr>
              <w:spacing w:after="0" w:line="240" w:lineRule="auto"/>
              <w:rPr>
                <w:color w:val="000000"/>
                <w:sz w:val="18"/>
                <w:szCs w:val="18"/>
              </w:rPr>
            </w:pPr>
            <w:r w:rsidRPr="00EC21BD">
              <w:rPr>
                <w:color w:val="000000"/>
                <w:sz w:val="18"/>
                <w:szCs w:val="18"/>
              </w:rPr>
              <w:t>STUDY 2:</w:t>
            </w:r>
            <w:r w:rsidRPr="00EC21BD">
              <w:rPr>
                <w:color w:val="000000"/>
                <w:sz w:val="18"/>
                <w:szCs w:val="18"/>
              </w:rPr>
              <w:br/>
              <w:t>58.33% (35 females</w:t>
            </w:r>
          </w:p>
        </w:tc>
        <w:tc>
          <w:tcPr>
            <w:tcW w:w="0" w:type="auto"/>
          </w:tcPr>
          <w:p w14:paraId="7B7655FA" w14:textId="77777777" w:rsidR="003B06AA" w:rsidRPr="00EC21BD" w:rsidRDefault="003B06AA" w:rsidP="00DE44B4">
            <w:pPr>
              <w:spacing w:after="0" w:line="240" w:lineRule="auto"/>
              <w:rPr>
                <w:color w:val="000000"/>
                <w:sz w:val="18"/>
                <w:szCs w:val="18"/>
              </w:rPr>
            </w:pPr>
            <w:r w:rsidRPr="00EC21BD">
              <w:rPr>
                <w:color w:val="000000"/>
                <w:sz w:val="18"/>
                <w:szCs w:val="18"/>
              </w:rPr>
              <w:t>NR</w:t>
            </w:r>
          </w:p>
        </w:tc>
        <w:tc>
          <w:tcPr>
            <w:tcW w:w="1266" w:type="dxa"/>
          </w:tcPr>
          <w:p w14:paraId="05CD5148"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STUDY 2: Household supply</w:t>
            </w:r>
            <w:r>
              <w:rPr>
                <w:color w:val="000000"/>
                <w:sz w:val="18"/>
                <w:szCs w:val="18"/>
              </w:rPr>
              <w:t xml:space="preserve">; </w:t>
            </w:r>
            <w:r w:rsidRPr="00EC21BD">
              <w:rPr>
                <w:color w:val="000000"/>
                <w:sz w:val="18"/>
                <w:szCs w:val="18"/>
              </w:rPr>
              <w:t>prescribed by healthcare professional</w:t>
            </w:r>
          </w:p>
        </w:tc>
        <w:tc>
          <w:tcPr>
            <w:tcW w:w="1853" w:type="dxa"/>
          </w:tcPr>
          <w:p w14:paraId="30B3FB91"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POD-specific: </w:t>
            </w:r>
          </w:p>
          <w:p w14:paraId="03C6BD4D" w14:textId="77777777" w:rsidR="003B06AA" w:rsidRDefault="003B06AA" w:rsidP="00DE44B4">
            <w:pPr>
              <w:spacing w:after="0" w:line="240" w:lineRule="auto"/>
              <w:rPr>
                <w:color w:val="000000"/>
                <w:sz w:val="18"/>
                <w:szCs w:val="18"/>
              </w:rPr>
            </w:pPr>
            <w:r w:rsidRPr="00EC21BD">
              <w:rPr>
                <w:color w:val="000000"/>
                <w:sz w:val="18"/>
                <w:szCs w:val="18"/>
              </w:rPr>
              <w:t>•</w:t>
            </w:r>
            <w:r>
              <w:rPr>
                <w:color w:val="000000"/>
                <w:sz w:val="18"/>
                <w:szCs w:val="18"/>
              </w:rPr>
              <w:t>household a</w:t>
            </w:r>
            <w:r w:rsidRPr="00EC21BD">
              <w:rPr>
                <w:color w:val="000000"/>
                <w:sz w:val="18"/>
                <w:szCs w:val="18"/>
              </w:rPr>
              <w:t xml:space="preserve">vailability </w:t>
            </w:r>
            <w:r>
              <w:rPr>
                <w:color w:val="000000"/>
                <w:sz w:val="18"/>
                <w:szCs w:val="18"/>
              </w:rPr>
              <w:t xml:space="preserve">(previous prescriptions after operation or backpain); </w:t>
            </w:r>
            <w:r w:rsidRPr="00EC21BD">
              <w:rPr>
                <w:color w:val="000000"/>
                <w:sz w:val="18"/>
                <w:szCs w:val="18"/>
              </w:rPr>
              <w:t>ease of access;</w:t>
            </w:r>
            <w:r>
              <w:rPr>
                <w:color w:val="000000"/>
                <w:sz w:val="18"/>
                <w:szCs w:val="18"/>
              </w:rPr>
              <w:t xml:space="preserve"> contravention of 1998 pack-size legislation (ease of purchasing multiple packs), affordability;</w:t>
            </w:r>
            <w:r w:rsidRPr="00EC21BD">
              <w:rPr>
                <w:color w:val="000000"/>
                <w:sz w:val="18"/>
                <w:szCs w:val="18"/>
              </w:rPr>
              <w:t xml:space="preserve"> familiarity; </w:t>
            </w:r>
            <w:r>
              <w:rPr>
                <w:color w:val="000000"/>
                <w:sz w:val="18"/>
                <w:szCs w:val="18"/>
              </w:rPr>
              <w:t>warning labels/paracetamol potency synergising self-poisoning intention</w:t>
            </w:r>
            <w:r w:rsidRPr="00EC21BD">
              <w:rPr>
                <w:color w:val="000000"/>
                <w:sz w:val="18"/>
                <w:szCs w:val="18"/>
              </w:rPr>
              <w:t xml:space="preserve">; pack size influence; impulsive use of available tablets. </w:t>
            </w:r>
          </w:p>
          <w:p w14:paraId="7A58DB5B"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p>
          <w:p w14:paraId="3DE42E97"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Emotional distress; interpersonal </w:t>
            </w:r>
            <w:r w:rsidRPr="00EC21BD">
              <w:rPr>
                <w:color w:val="000000"/>
                <w:sz w:val="18"/>
                <w:szCs w:val="18"/>
              </w:rPr>
              <w:lastRenderedPageBreak/>
              <w:t>conflict; hopelessness; alcohol use; impulsivity; limited intent to die; underlying mental health difficulties.</w:t>
            </w:r>
          </w:p>
        </w:tc>
        <w:tc>
          <w:tcPr>
            <w:tcW w:w="1599" w:type="dxa"/>
          </w:tcPr>
          <w:p w14:paraId="75DC2C7F"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lastRenderedPageBreak/>
              <w:t>STUDY 2</w:t>
            </w:r>
            <w:r w:rsidRPr="00EC21BD">
              <w:rPr>
                <w:b/>
                <w:bCs/>
                <w:color w:val="000000"/>
                <w:sz w:val="18"/>
                <w:szCs w:val="18"/>
              </w:rPr>
              <w:br/>
            </w:r>
            <w:r w:rsidRPr="00EC21BD">
              <w:rPr>
                <w:color w:val="000000"/>
                <w:sz w:val="18"/>
                <w:szCs w:val="18"/>
              </w:rPr>
              <w:t>Alcohol; other</w:t>
            </w:r>
            <w:r>
              <w:rPr>
                <w:color w:val="000000"/>
                <w:sz w:val="18"/>
                <w:szCs w:val="18"/>
              </w:rPr>
              <w:t xml:space="preserve"> medications</w:t>
            </w:r>
            <w:r w:rsidRPr="00EC21BD">
              <w:rPr>
                <w:color w:val="000000"/>
                <w:sz w:val="18"/>
                <w:szCs w:val="18"/>
              </w:rPr>
              <w:br/>
            </w:r>
          </w:p>
        </w:tc>
      </w:tr>
      <w:tr w:rsidR="003B06AA" w:rsidRPr="00EC21BD" w14:paraId="08D12A47" w14:textId="77777777" w:rsidTr="003B06AA">
        <w:trPr>
          <w:trHeight w:val="1077"/>
          <w:jc w:val="center"/>
        </w:trPr>
        <w:tc>
          <w:tcPr>
            <w:tcW w:w="0" w:type="auto"/>
          </w:tcPr>
          <w:p w14:paraId="1F1108E8"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Lopez, 2013</w:t>
            </w:r>
          </w:p>
          <w:p w14:paraId="6B8F7376" w14:textId="6E1EBE9D"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Going legal</w:t>
            </w:r>
          </w:p>
        </w:tc>
        <w:tc>
          <w:tcPr>
            <w:tcW w:w="1459" w:type="dxa"/>
          </w:tcPr>
          <w:p w14:paraId="794D6522"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England-Plymouth</w:t>
            </w:r>
          </w:p>
        </w:tc>
        <w:tc>
          <w:tcPr>
            <w:tcW w:w="1459" w:type="dxa"/>
          </w:tcPr>
          <w:p w14:paraId="292DBF84"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Case report</w:t>
            </w:r>
          </w:p>
        </w:tc>
        <w:tc>
          <w:tcPr>
            <w:tcW w:w="0" w:type="auto"/>
          </w:tcPr>
          <w:p w14:paraId="5B18EFA9"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Young </w:t>
            </w:r>
            <w:r>
              <w:rPr>
                <w:color w:val="000000"/>
                <w:sz w:val="18"/>
                <w:szCs w:val="18"/>
              </w:rPr>
              <w:t>adults</w:t>
            </w:r>
            <w:r w:rsidRPr="00EC21BD">
              <w:rPr>
                <w:color w:val="000000"/>
                <w:sz w:val="18"/>
                <w:szCs w:val="18"/>
              </w:rPr>
              <w:br/>
            </w:r>
            <w:r w:rsidRPr="00EC21BD">
              <w:rPr>
                <w:color w:val="000000"/>
                <w:sz w:val="18"/>
                <w:szCs w:val="18"/>
              </w:rPr>
              <w:br/>
            </w:r>
          </w:p>
        </w:tc>
        <w:tc>
          <w:tcPr>
            <w:tcW w:w="0" w:type="auto"/>
          </w:tcPr>
          <w:p w14:paraId="66AF15E3"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1 individual</w:t>
            </w:r>
          </w:p>
        </w:tc>
        <w:tc>
          <w:tcPr>
            <w:tcW w:w="0" w:type="auto"/>
          </w:tcPr>
          <w:p w14:paraId="65E78A17"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1 POD case</w:t>
            </w:r>
          </w:p>
        </w:tc>
        <w:tc>
          <w:tcPr>
            <w:tcW w:w="0" w:type="auto"/>
          </w:tcPr>
          <w:p w14:paraId="7EA99262"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100% female</w:t>
            </w:r>
          </w:p>
        </w:tc>
        <w:tc>
          <w:tcPr>
            <w:tcW w:w="0" w:type="auto"/>
          </w:tcPr>
          <w:p w14:paraId="4A61A75F"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Vulnerable young person in residential care</w:t>
            </w:r>
          </w:p>
        </w:tc>
        <w:tc>
          <w:tcPr>
            <w:tcW w:w="1266" w:type="dxa"/>
          </w:tcPr>
          <w:p w14:paraId="1F5EC566"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1853" w:type="dxa"/>
          </w:tcPr>
          <w:p w14:paraId="11C7A463"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POD-specific: </w:t>
            </w:r>
            <w:r w:rsidRPr="00EC21BD">
              <w:rPr>
                <w:color w:val="000000"/>
                <w:sz w:val="18"/>
                <w:szCs w:val="18"/>
              </w:rPr>
              <w:t>self-poisoning</w:t>
            </w:r>
          </w:p>
          <w:p w14:paraId="32FA24A3"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p>
          <w:p w14:paraId="415C3D4F"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mental health challenges</w:t>
            </w:r>
          </w:p>
        </w:tc>
        <w:tc>
          <w:tcPr>
            <w:tcW w:w="1599" w:type="dxa"/>
          </w:tcPr>
          <w:p w14:paraId="0AA8CD1B"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None reported</w:t>
            </w:r>
          </w:p>
        </w:tc>
      </w:tr>
      <w:tr w:rsidR="003B06AA" w:rsidRPr="00EC21BD" w14:paraId="41A8F843" w14:textId="77777777" w:rsidTr="003B06AA">
        <w:trPr>
          <w:trHeight w:val="2211"/>
          <w:jc w:val="center"/>
        </w:trPr>
        <w:tc>
          <w:tcPr>
            <w:tcW w:w="0" w:type="auto"/>
          </w:tcPr>
          <w:p w14:paraId="5B4F9260" w14:textId="77777777" w:rsidR="003B06AA" w:rsidRPr="00EC21BD" w:rsidRDefault="003B06AA" w:rsidP="00DE44B4">
            <w:pPr>
              <w:spacing w:after="0" w:line="240" w:lineRule="auto"/>
              <w:rPr>
                <w:color w:val="000000"/>
                <w:sz w:val="18"/>
                <w:szCs w:val="18"/>
              </w:rPr>
            </w:pPr>
            <w:r w:rsidRPr="00EC21BD">
              <w:rPr>
                <w:b/>
                <w:bCs/>
                <w:color w:val="000000"/>
                <w:sz w:val="18"/>
                <w:szCs w:val="18"/>
              </w:rPr>
              <w:t>Teo, 2013</w:t>
            </w:r>
          </w:p>
          <w:p w14:paraId="16AF49A4" w14:textId="2C8381A0"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The epidemiology and management of adult poisonings admitted to the </w:t>
            </w:r>
            <w:proofErr w:type="gramStart"/>
            <w:r w:rsidRPr="00EC21BD">
              <w:rPr>
                <w:color w:val="000000"/>
                <w:sz w:val="18"/>
                <w:szCs w:val="18"/>
              </w:rPr>
              <w:t>short-stay</w:t>
            </w:r>
            <w:proofErr w:type="gramEnd"/>
            <w:r w:rsidRPr="00EC21BD">
              <w:rPr>
                <w:color w:val="000000"/>
                <w:sz w:val="18"/>
                <w:szCs w:val="18"/>
              </w:rPr>
              <w:t xml:space="preserve"> ward of a large Scottish emergency department</w:t>
            </w:r>
          </w:p>
        </w:tc>
        <w:tc>
          <w:tcPr>
            <w:tcW w:w="1459" w:type="dxa"/>
          </w:tcPr>
          <w:p w14:paraId="5DA8C71B"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Scotland-Aberdeen </w:t>
            </w:r>
          </w:p>
        </w:tc>
        <w:tc>
          <w:tcPr>
            <w:tcW w:w="1459" w:type="dxa"/>
          </w:tcPr>
          <w:p w14:paraId="2EEB4F4B"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Retrospective observational study</w:t>
            </w:r>
          </w:p>
        </w:tc>
        <w:tc>
          <w:tcPr>
            <w:tcW w:w="0" w:type="auto"/>
          </w:tcPr>
          <w:p w14:paraId="144DCD16"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Young </w:t>
            </w:r>
            <w:r>
              <w:rPr>
                <w:color w:val="000000"/>
                <w:sz w:val="18"/>
                <w:szCs w:val="18"/>
              </w:rPr>
              <w:t>adults;</w:t>
            </w:r>
            <w:r w:rsidRPr="00EC21BD">
              <w:rPr>
                <w:color w:val="000000"/>
                <w:sz w:val="18"/>
                <w:szCs w:val="18"/>
              </w:rPr>
              <w:t xml:space="preserve"> Adults</w:t>
            </w:r>
            <w:r>
              <w:rPr>
                <w:color w:val="000000"/>
                <w:sz w:val="18"/>
                <w:szCs w:val="18"/>
              </w:rPr>
              <w:t>;</w:t>
            </w:r>
            <w:r w:rsidRPr="00EC21BD">
              <w:rPr>
                <w:color w:val="000000"/>
                <w:sz w:val="18"/>
                <w:szCs w:val="18"/>
              </w:rPr>
              <w:t xml:space="preserve"> Older adults</w:t>
            </w:r>
          </w:p>
        </w:tc>
        <w:tc>
          <w:tcPr>
            <w:tcW w:w="0" w:type="auto"/>
          </w:tcPr>
          <w:p w14:paraId="07C17A7F" w14:textId="77777777" w:rsidR="003B06AA" w:rsidRPr="00EC21BD" w:rsidRDefault="003B06AA" w:rsidP="00DE44B4">
            <w:pPr>
              <w:spacing w:after="0" w:line="240" w:lineRule="auto"/>
              <w:rPr>
                <w:color w:val="000000"/>
                <w:sz w:val="18"/>
                <w:szCs w:val="18"/>
              </w:rPr>
            </w:pPr>
            <w:proofErr w:type="gramStart"/>
            <w:r w:rsidRPr="00EC21BD">
              <w:rPr>
                <w:color w:val="000000"/>
                <w:sz w:val="18"/>
                <w:szCs w:val="18"/>
              </w:rPr>
              <w:t>2009;</w:t>
            </w:r>
            <w:proofErr w:type="gramEnd"/>
          </w:p>
          <w:p w14:paraId="248501C7"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1062 episodes </w:t>
            </w:r>
          </w:p>
        </w:tc>
        <w:tc>
          <w:tcPr>
            <w:tcW w:w="0" w:type="auto"/>
          </w:tcPr>
          <w:p w14:paraId="1DA1E625" w14:textId="77777777" w:rsidR="003B06AA" w:rsidRPr="00EC21BD" w:rsidRDefault="003B06AA" w:rsidP="00DE44B4">
            <w:pPr>
              <w:spacing w:after="0" w:line="240" w:lineRule="auto"/>
              <w:rPr>
                <w:color w:val="000000"/>
                <w:sz w:val="18"/>
                <w:szCs w:val="18"/>
              </w:rPr>
            </w:pPr>
            <w:proofErr w:type="gramStart"/>
            <w:r w:rsidRPr="00EC21BD">
              <w:rPr>
                <w:color w:val="000000"/>
                <w:sz w:val="18"/>
                <w:szCs w:val="18"/>
              </w:rPr>
              <w:t>2009</w:t>
            </w:r>
            <w:r>
              <w:rPr>
                <w:color w:val="000000"/>
                <w:sz w:val="18"/>
                <w:szCs w:val="18"/>
              </w:rPr>
              <w:t>;</w:t>
            </w:r>
            <w:proofErr w:type="gramEnd"/>
          </w:p>
          <w:p w14:paraId="6706CB6B"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452 POD cases</w:t>
            </w:r>
            <w:r w:rsidRPr="00EC21BD">
              <w:rPr>
                <w:color w:val="000000"/>
                <w:sz w:val="18"/>
                <w:szCs w:val="18"/>
              </w:rPr>
              <w:br/>
            </w:r>
          </w:p>
        </w:tc>
        <w:tc>
          <w:tcPr>
            <w:tcW w:w="0" w:type="auto"/>
          </w:tcPr>
          <w:p w14:paraId="0AB6A7A2"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Not extractable</w:t>
            </w:r>
          </w:p>
        </w:tc>
        <w:tc>
          <w:tcPr>
            <w:tcW w:w="0" w:type="auto"/>
          </w:tcPr>
          <w:p w14:paraId="1C49AA93"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Distributed across all deprivation levels</w:t>
            </w:r>
          </w:p>
        </w:tc>
        <w:tc>
          <w:tcPr>
            <w:tcW w:w="1266" w:type="dxa"/>
          </w:tcPr>
          <w:p w14:paraId="51219022"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1853" w:type="dxa"/>
          </w:tcPr>
          <w:p w14:paraId="0FA3542D"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POD-specific: </w:t>
            </w:r>
            <w:r w:rsidRPr="00EC21BD">
              <w:rPr>
                <w:color w:val="000000"/>
                <w:sz w:val="18"/>
                <w:szCs w:val="18"/>
              </w:rPr>
              <w:t>self-poisoning</w:t>
            </w:r>
          </w:p>
          <w:p w14:paraId="07E10470"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p>
          <w:p w14:paraId="5E73F81B"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self-harm</w:t>
            </w:r>
          </w:p>
        </w:tc>
        <w:tc>
          <w:tcPr>
            <w:tcW w:w="1599" w:type="dxa"/>
          </w:tcPr>
          <w:p w14:paraId="2201FF39"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Alcohol </w:t>
            </w:r>
          </w:p>
        </w:tc>
      </w:tr>
      <w:tr w:rsidR="003B06AA" w:rsidRPr="00EC21BD" w14:paraId="0032550A" w14:textId="77777777" w:rsidTr="003B06AA">
        <w:trPr>
          <w:trHeight w:val="1985"/>
          <w:jc w:val="center"/>
        </w:trPr>
        <w:tc>
          <w:tcPr>
            <w:tcW w:w="0" w:type="auto"/>
          </w:tcPr>
          <w:p w14:paraId="0A48F1EB"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Kapur, 2013</w:t>
            </w:r>
          </w:p>
          <w:p w14:paraId="2B75741A" w14:textId="4C10A2E1"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Does Clinical Management Improve Outcomes following Self-Harm? Results from the Multicentre Study of Self-Harm in England</w:t>
            </w:r>
          </w:p>
        </w:tc>
        <w:tc>
          <w:tcPr>
            <w:tcW w:w="1459" w:type="dxa"/>
          </w:tcPr>
          <w:p w14:paraId="53F3D7F8"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England-Oxford, Manchester, and Derby</w:t>
            </w:r>
          </w:p>
        </w:tc>
        <w:tc>
          <w:tcPr>
            <w:tcW w:w="1459" w:type="dxa"/>
          </w:tcPr>
          <w:p w14:paraId="4CB12CB8"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Retrospective cohort study</w:t>
            </w:r>
          </w:p>
        </w:tc>
        <w:tc>
          <w:tcPr>
            <w:tcW w:w="0" w:type="auto"/>
          </w:tcPr>
          <w:p w14:paraId="440D70B3"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Young </w:t>
            </w:r>
            <w:r>
              <w:rPr>
                <w:color w:val="000000"/>
                <w:sz w:val="18"/>
                <w:szCs w:val="18"/>
              </w:rPr>
              <w:t>adults;</w:t>
            </w:r>
            <w:r w:rsidRPr="00EC21BD">
              <w:rPr>
                <w:color w:val="000000"/>
                <w:sz w:val="18"/>
                <w:szCs w:val="18"/>
              </w:rPr>
              <w:t xml:space="preserve"> Adults</w:t>
            </w:r>
            <w:r>
              <w:rPr>
                <w:color w:val="000000"/>
                <w:sz w:val="18"/>
                <w:szCs w:val="18"/>
              </w:rPr>
              <w:t>;</w:t>
            </w:r>
            <w:r w:rsidRPr="00EC21BD">
              <w:rPr>
                <w:color w:val="000000"/>
                <w:sz w:val="18"/>
                <w:szCs w:val="18"/>
              </w:rPr>
              <w:t xml:space="preserve"> Older adults</w:t>
            </w:r>
          </w:p>
        </w:tc>
        <w:tc>
          <w:tcPr>
            <w:tcW w:w="0" w:type="auto"/>
          </w:tcPr>
          <w:p w14:paraId="52A96568" w14:textId="1778D38A"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2000–2009; 35938 individuals (61583 episodes)</w:t>
            </w:r>
            <w:r w:rsidRPr="00EC21BD">
              <w:rPr>
                <w:color w:val="000000"/>
                <w:sz w:val="18"/>
                <w:szCs w:val="18"/>
              </w:rPr>
              <w:br/>
            </w:r>
            <w:r w:rsidRPr="00EC21BD">
              <w:rPr>
                <w:color w:val="000000"/>
                <w:sz w:val="18"/>
                <w:szCs w:val="18"/>
              </w:rPr>
              <w:br/>
            </w:r>
          </w:p>
        </w:tc>
        <w:tc>
          <w:tcPr>
            <w:tcW w:w="0" w:type="auto"/>
          </w:tcPr>
          <w:p w14:paraId="47A43394" w14:textId="77777777" w:rsidR="003B06AA" w:rsidRPr="00EC21BD" w:rsidRDefault="003B06AA" w:rsidP="00DE44B4">
            <w:pPr>
              <w:spacing w:after="0" w:line="240" w:lineRule="auto"/>
              <w:rPr>
                <w:color w:val="000000"/>
                <w:sz w:val="18"/>
                <w:szCs w:val="18"/>
              </w:rPr>
            </w:pPr>
            <w:proofErr w:type="gramStart"/>
            <w:r w:rsidRPr="00EC21BD">
              <w:rPr>
                <w:color w:val="000000"/>
                <w:sz w:val="18"/>
                <w:szCs w:val="18"/>
              </w:rPr>
              <w:t>2000-2009;</w:t>
            </w:r>
            <w:proofErr w:type="gramEnd"/>
          </w:p>
          <w:p w14:paraId="015B84B8" w14:textId="11581DD1"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13436 pure POD episodes</w:t>
            </w:r>
          </w:p>
        </w:tc>
        <w:tc>
          <w:tcPr>
            <w:tcW w:w="0" w:type="auto"/>
          </w:tcPr>
          <w:p w14:paraId="2EFF330E"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Not extractable</w:t>
            </w:r>
          </w:p>
        </w:tc>
        <w:tc>
          <w:tcPr>
            <w:tcW w:w="0" w:type="auto"/>
          </w:tcPr>
          <w:p w14:paraId="0F565A03"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Deprivation patterns noted but not POD specific</w:t>
            </w:r>
          </w:p>
        </w:tc>
        <w:tc>
          <w:tcPr>
            <w:tcW w:w="1266" w:type="dxa"/>
          </w:tcPr>
          <w:p w14:paraId="7EC7CD5C"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Pr>
                <w:color w:val="000000"/>
                <w:sz w:val="18"/>
                <w:szCs w:val="18"/>
              </w:rPr>
              <w:t>NR</w:t>
            </w:r>
          </w:p>
        </w:tc>
        <w:tc>
          <w:tcPr>
            <w:tcW w:w="1853" w:type="dxa"/>
          </w:tcPr>
          <w:p w14:paraId="521E47AE"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POD-specific: </w:t>
            </w:r>
            <w:r w:rsidRPr="00EC21BD">
              <w:rPr>
                <w:color w:val="000000"/>
                <w:sz w:val="18"/>
                <w:szCs w:val="18"/>
              </w:rPr>
              <w:t>self-poisoning</w:t>
            </w:r>
          </w:p>
          <w:p w14:paraId="6EB0CD2D"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p>
          <w:p w14:paraId="0FBC37EE"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mental health challenges; self-harm</w:t>
            </w:r>
          </w:p>
        </w:tc>
        <w:tc>
          <w:tcPr>
            <w:tcW w:w="1599" w:type="dxa"/>
          </w:tcPr>
          <w:p w14:paraId="42BA4D3F"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None reported</w:t>
            </w:r>
          </w:p>
        </w:tc>
      </w:tr>
      <w:tr w:rsidR="003B06AA" w:rsidRPr="00EC21BD" w14:paraId="147FD62C" w14:textId="77777777" w:rsidTr="003B06AA">
        <w:trPr>
          <w:trHeight w:val="1985"/>
          <w:jc w:val="center"/>
        </w:trPr>
        <w:tc>
          <w:tcPr>
            <w:tcW w:w="0" w:type="auto"/>
          </w:tcPr>
          <w:p w14:paraId="25F50A5F"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Car</w:t>
            </w:r>
            <w:r>
              <w:rPr>
                <w:b/>
                <w:bCs/>
                <w:color w:val="000000"/>
                <w:sz w:val="18"/>
                <w:szCs w:val="18"/>
              </w:rPr>
              <w:t>r</w:t>
            </w:r>
            <w:r w:rsidRPr="00EC21BD">
              <w:rPr>
                <w:b/>
                <w:bCs/>
                <w:color w:val="000000"/>
                <w:sz w:val="18"/>
                <w:szCs w:val="18"/>
              </w:rPr>
              <w:t>oll, 2015</w:t>
            </w:r>
          </w:p>
          <w:p w14:paraId="449B98A8" w14:textId="35455DB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Epidemiology, management and outcome of paracetamol poisoning in an </w:t>
            </w:r>
            <w:proofErr w:type="gramStart"/>
            <w:r w:rsidRPr="00EC21BD">
              <w:rPr>
                <w:color w:val="000000"/>
                <w:sz w:val="18"/>
                <w:szCs w:val="18"/>
              </w:rPr>
              <w:t>inner city</w:t>
            </w:r>
            <w:proofErr w:type="gramEnd"/>
            <w:r w:rsidRPr="00EC21BD">
              <w:rPr>
                <w:color w:val="000000"/>
                <w:sz w:val="18"/>
                <w:szCs w:val="18"/>
              </w:rPr>
              <w:t xml:space="preserve"> emergency department</w:t>
            </w:r>
          </w:p>
        </w:tc>
        <w:tc>
          <w:tcPr>
            <w:tcW w:w="1459" w:type="dxa"/>
          </w:tcPr>
          <w:p w14:paraId="203C4B76"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England-Bristol</w:t>
            </w:r>
          </w:p>
        </w:tc>
        <w:tc>
          <w:tcPr>
            <w:tcW w:w="1459" w:type="dxa"/>
          </w:tcPr>
          <w:p w14:paraId="4427ACF5"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Prospective observational study</w:t>
            </w:r>
          </w:p>
        </w:tc>
        <w:tc>
          <w:tcPr>
            <w:tcW w:w="0" w:type="auto"/>
          </w:tcPr>
          <w:p w14:paraId="41230A98"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Young </w:t>
            </w:r>
            <w:r>
              <w:rPr>
                <w:color w:val="000000"/>
                <w:sz w:val="18"/>
                <w:szCs w:val="18"/>
              </w:rPr>
              <w:t>adults;</w:t>
            </w:r>
            <w:r w:rsidRPr="00EC21BD">
              <w:rPr>
                <w:color w:val="000000"/>
                <w:sz w:val="18"/>
                <w:szCs w:val="18"/>
              </w:rPr>
              <w:t xml:space="preserve"> Adults</w:t>
            </w:r>
            <w:r>
              <w:rPr>
                <w:color w:val="000000"/>
                <w:sz w:val="18"/>
                <w:szCs w:val="18"/>
              </w:rPr>
              <w:t>;</w:t>
            </w:r>
            <w:r w:rsidRPr="00EC21BD">
              <w:rPr>
                <w:color w:val="000000"/>
                <w:sz w:val="18"/>
                <w:szCs w:val="18"/>
              </w:rPr>
              <w:t xml:space="preserve"> Older adults</w:t>
            </w:r>
          </w:p>
        </w:tc>
        <w:tc>
          <w:tcPr>
            <w:tcW w:w="0" w:type="auto"/>
          </w:tcPr>
          <w:p w14:paraId="785A5004"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2011-2012; 851 cases</w:t>
            </w:r>
          </w:p>
        </w:tc>
        <w:tc>
          <w:tcPr>
            <w:tcW w:w="0" w:type="auto"/>
          </w:tcPr>
          <w:p w14:paraId="3BBCB1C0"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2011-2012; 374 POD cases</w:t>
            </w:r>
          </w:p>
        </w:tc>
        <w:tc>
          <w:tcPr>
            <w:tcW w:w="0" w:type="auto"/>
          </w:tcPr>
          <w:p w14:paraId="50FBD5CF"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61.8% (231) female</w:t>
            </w:r>
          </w:p>
        </w:tc>
        <w:tc>
          <w:tcPr>
            <w:tcW w:w="0" w:type="auto"/>
          </w:tcPr>
          <w:p w14:paraId="684655D7"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Pr>
                <w:color w:val="000000"/>
                <w:sz w:val="18"/>
                <w:szCs w:val="18"/>
              </w:rPr>
              <w:t>NR</w:t>
            </w:r>
          </w:p>
        </w:tc>
        <w:tc>
          <w:tcPr>
            <w:tcW w:w="1266" w:type="dxa"/>
          </w:tcPr>
          <w:p w14:paraId="6D580BAB"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1853" w:type="dxa"/>
          </w:tcPr>
          <w:p w14:paraId="65C494E8"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POD-specific: </w:t>
            </w:r>
            <w:r w:rsidRPr="00EC21BD">
              <w:rPr>
                <w:color w:val="000000"/>
                <w:sz w:val="18"/>
                <w:szCs w:val="18"/>
              </w:rPr>
              <w:t>self-poisoning</w:t>
            </w:r>
          </w:p>
          <w:p w14:paraId="419176CD"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p>
          <w:p w14:paraId="04876D3E"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repeat self-harm </w:t>
            </w:r>
          </w:p>
        </w:tc>
        <w:tc>
          <w:tcPr>
            <w:tcW w:w="1599" w:type="dxa"/>
          </w:tcPr>
          <w:p w14:paraId="5A76A409"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Alcohol </w:t>
            </w:r>
          </w:p>
        </w:tc>
      </w:tr>
      <w:tr w:rsidR="003B06AA" w:rsidRPr="00EC21BD" w14:paraId="482BEAB5" w14:textId="77777777" w:rsidTr="003B06AA">
        <w:trPr>
          <w:trHeight w:val="1757"/>
          <w:jc w:val="center"/>
        </w:trPr>
        <w:tc>
          <w:tcPr>
            <w:tcW w:w="0" w:type="auto"/>
          </w:tcPr>
          <w:p w14:paraId="074814DA" w14:textId="77777777" w:rsidR="003B06AA" w:rsidRPr="00EC21BD" w:rsidRDefault="003B06AA" w:rsidP="00DE44B4">
            <w:pPr>
              <w:spacing w:after="0" w:line="240" w:lineRule="auto"/>
              <w:rPr>
                <w:b/>
                <w:bCs/>
                <w:color w:val="000000"/>
                <w:sz w:val="18"/>
                <w:szCs w:val="18"/>
              </w:rPr>
            </w:pPr>
            <w:r w:rsidRPr="00EC21BD">
              <w:rPr>
                <w:b/>
                <w:bCs/>
                <w:color w:val="000000"/>
                <w:sz w:val="18"/>
                <w:szCs w:val="18"/>
              </w:rPr>
              <w:lastRenderedPageBreak/>
              <w:t>Haw, 2015</w:t>
            </w:r>
          </w:p>
          <w:p w14:paraId="7354B1E1" w14:textId="4129165D"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Suicidal Intent and Method of Self-Harm: A Large-scale Study of Self-Harm Patients Presenting to a General Hospital</w:t>
            </w:r>
          </w:p>
        </w:tc>
        <w:tc>
          <w:tcPr>
            <w:tcW w:w="1459" w:type="dxa"/>
          </w:tcPr>
          <w:p w14:paraId="1338F7E8"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England-Oxford</w:t>
            </w:r>
          </w:p>
        </w:tc>
        <w:tc>
          <w:tcPr>
            <w:tcW w:w="1459" w:type="dxa"/>
          </w:tcPr>
          <w:p w14:paraId="0B8B39CE"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Cohort study</w:t>
            </w:r>
          </w:p>
        </w:tc>
        <w:tc>
          <w:tcPr>
            <w:tcW w:w="0" w:type="auto"/>
          </w:tcPr>
          <w:p w14:paraId="773541FD"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Young </w:t>
            </w:r>
            <w:r>
              <w:rPr>
                <w:color w:val="000000"/>
                <w:sz w:val="18"/>
                <w:szCs w:val="18"/>
              </w:rPr>
              <w:t>adults;</w:t>
            </w:r>
            <w:r w:rsidRPr="00EC21BD">
              <w:rPr>
                <w:color w:val="000000"/>
                <w:sz w:val="18"/>
                <w:szCs w:val="18"/>
              </w:rPr>
              <w:t xml:space="preserve"> Adults</w:t>
            </w:r>
            <w:r>
              <w:rPr>
                <w:color w:val="000000"/>
                <w:sz w:val="18"/>
                <w:szCs w:val="18"/>
              </w:rPr>
              <w:t>;</w:t>
            </w:r>
            <w:r w:rsidRPr="00EC21BD">
              <w:rPr>
                <w:color w:val="000000"/>
                <w:sz w:val="18"/>
                <w:szCs w:val="18"/>
              </w:rPr>
              <w:t xml:space="preserve"> Older adults</w:t>
            </w:r>
          </w:p>
        </w:tc>
        <w:tc>
          <w:tcPr>
            <w:tcW w:w="0" w:type="auto"/>
          </w:tcPr>
          <w:p w14:paraId="513182EA" w14:textId="52898A6A" w:rsidR="003B06AA" w:rsidRPr="00EC21BD" w:rsidRDefault="003B06AA" w:rsidP="00DE44B4">
            <w:pPr>
              <w:spacing w:after="0" w:line="240" w:lineRule="auto"/>
              <w:rPr>
                <w:color w:val="000000"/>
                <w:sz w:val="18"/>
                <w:szCs w:val="18"/>
              </w:rPr>
            </w:pPr>
            <w:r w:rsidRPr="00EC21BD">
              <w:rPr>
                <w:color w:val="000000"/>
                <w:sz w:val="18"/>
                <w:szCs w:val="18"/>
              </w:rPr>
              <w:t>2004–2011; 7187 cases (12760 episodes)</w:t>
            </w:r>
          </w:p>
        </w:tc>
        <w:tc>
          <w:tcPr>
            <w:tcW w:w="0" w:type="auto"/>
          </w:tcPr>
          <w:p w14:paraId="73783C85" w14:textId="77777777" w:rsidR="003B06AA" w:rsidRPr="00EC21BD" w:rsidRDefault="003B06AA" w:rsidP="00DE44B4">
            <w:pPr>
              <w:spacing w:after="0" w:line="240" w:lineRule="auto"/>
              <w:rPr>
                <w:color w:val="000000"/>
                <w:sz w:val="18"/>
                <w:szCs w:val="18"/>
              </w:rPr>
            </w:pPr>
            <w:proofErr w:type="gramStart"/>
            <w:r w:rsidRPr="00EC21BD">
              <w:rPr>
                <w:color w:val="000000"/>
                <w:sz w:val="18"/>
                <w:szCs w:val="18"/>
              </w:rPr>
              <w:t>2004-2011;</w:t>
            </w:r>
            <w:proofErr w:type="gramEnd"/>
          </w:p>
          <w:p w14:paraId="66B6C1A3"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892 POD cases</w:t>
            </w:r>
          </w:p>
        </w:tc>
        <w:tc>
          <w:tcPr>
            <w:tcW w:w="0" w:type="auto"/>
          </w:tcPr>
          <w:p w14:paraId="0C2F65DB"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Females more likely to self-poison; % not specific to POD</w:t>
            </w:r>
          </w:p>
        </w:tc>
        <w:tc>
          <w:tcPr>
            <w:tcW w:w="0" w:type="auto"/>
          </w:tcPr>
          <w:p w14:paraId="11633BA8"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1266" w:type="dxa"/>
          </w:tcPr>
          <w:p w14:paraId="26F45F3E"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1853" w:type="dxa"/>
          </w:tcPr>
          <w:p w14:paraId="07F6A4BE"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POD-specific: </w:t>
            </w:r>
            <w:r w:rsidRPr="00EC21BD">
              <w:rPr>
                <w:color w:val="000000"/>
                <w:sz w:val="18"/>
                <w:szCs w:val="18"/>
              </w:rPr>
              <w:t>self-poisoning</w:t>
            </w:r>
          </w:p>
          <w:p w14:paraId="1C1AD0FC"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p>
          <w:p w14:paraId="4BD023B8"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suicidal intention</w:t>
            </w:r>
          </w:p>
        </w:tc>
        <w:tc>
          <w:tcPr>
            <w:tcW w:w="1599" w:type="dxa"/>
          </w:tcPr>
          <w:p w14:paraId="0AF73153"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Pr>
                <w:color w:val="000000"/>
                <w:sz w:val="18"/>
                <w:szCs w:val="18"/>
              </w:rPr>
              <w:t>Multiple medications</w:t>
            </w:r>
          </w:p>
        </w:tc>
      </w:tr>
      <w:tr w:rsidR="003B06AA" w:rsidRPr="00EC21BD" w14:paraId="252BF6DA" w14:textId="77777777" w:rsidTr="003B06AA">
        <w:trPr>
          <w:trHeight w:val="2154"/>
          <w:jc w:val="center"/>
        </w:trPr>
        <w:tc>
          <w:tcPr>
            <w:tcW w:w="0" w:type="auto"/>
          </w:tcPr>
          <w:p w14:paraId="57D80C60"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Hawton, 2019</w:t>
            </w:r>
          </w:p>
          <w:p w14:paraId="165FAAED" w14:textId="604BC24D"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Relative toxicity of analgesics commonly used for intentional self-poisoning: A study of case fatality based on fatal and non-fatal overdoses</w:t>
            </w:r>
          </w:p>
        </w:tc>
        <w:tc>
          <w:tcPr>
            <w:tcW w:w="1459" w:type="dxa"/>
          </w:tcPr>
          <w:p w14:paraId="6F2CF6B9"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England- Oxford, Manchester, Derby</w:t>
            </w:r>
          </w:p>
        </w:tc>
        <w:tc>
          <w:tcPr>
            <w:tcW w:w="1459" w:type="dxa"/>
          </w:tcPr>
          <w:p w14:paraId="2B0212FD"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Retrospective Observational Study</w:t>
            </w:r>
          </w:p>
        </w:tc>
        <w:tc>
          <w:tcPr>
            <w:tcW w:w="0" w:type="auto"/>
          </w:tcPr>
          <w:p w14:paraId="099F5073"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0" w:type="auto"/>
          </w:tcPr>
          <w:p w14:paraId="3FDE0BC4" w14:textId="77777777" w:rsidR="003B06AA" w:rsidRPr="00EC21BD" w:rsidRDefault="003B06AA" w:rsidP="00DE44B4">
            <w:pPr>
              <w:spacing w:after="0" w:line="240" w:lineRule="auto"/>
              <w:rPr>
                <w:color w:val="000000"/>
                <w:sz w:val="18"/>
                <w:szCs w:val="18"/>
              </w:rPr>
            </w:pPr>
            <w:proofErr w:type="gramStart"/>
            <w:r w:rsidRPr="00EC21BD">
              <w:rPr>
                <w:color w:val="000000"/>
                <w:sz w:val="18"/>
                <w:szCs w:val="18"/>
              </w:rPr>
              <w:t>2005-2012;</w:t>
            </w:r>
            <w:proofErr w:type="gramEnd"/>
          </w:p>
          <w:p w14:paraId="44763CB0" w14:textId="018FF009"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1462 single drug suicide, and 471 deaths with multiple drugs involved</w:t>
            </w:r>
          </w:p>
        </w:tc>
        <w:tc>
          <w:tcPr>
            <w:tcW w:w="0" w:type="auto"/>
          </w:tcPr>
          <w:p w14:paraId="070307A7" w14:textId="77777777" w:rsidR="003B06AA" w:rsidRPr="00EC21BD" w:rsidRDefault="003B06AA" w:rsidP="00DE44B4">
            <w:pPr>
              <w:spacing w:after="0" w:line="240" w:lineRule="auto"/>
              <w:rPr>
                <w:color w:val="000000"/>
                <w:sz w:val="18"/>
                <w:szCs w:val="18"/>
              </w:rPr>
            </w:pPr>
            <w:proofErr w:type="gramStart"/>
            <w:r w:rsidRPr="00EC21BD">
              <w:rPr>
                <w:color w:val="000000"/>
                <w:sz w:val="18"/>
                <w:szCs w:val="18"/>
              </w:rPr>
              <w:t>2005-2012;</w:t>
            </w:r>
            <w:proofErr w:type="gramEnd"/>
          </w:p>
          <w:p w14:paraId="1A4951BC" w14:textId="09F82F7D"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8671 POD non-fatal events </w:t>
            </w:r>
          </w:p>
        </w:tc>
        <w:tc>
          <w:tcPr>
            <w:tcW w:w="0" w:type="auto"/>
          </w:tcPr>
          <w:p w14:paraId="09D15864"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NR</w:t>
            </w:r>
          </w:p>
        </w:tc>
        <w:tc>
          <w:tcPr>
            <w:tcW w:w="0" w:type="auto"/>
          </w:tcPr>
          <w:p w14:paraId="3F38A58E"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NR</w:t>
            </w:r>
          </w:p>
        </w:tc>
        <w:tc>
          <w:tcPr>
            <w:tcW w:w="1266" w:type="dxa"/>
          </w:tcPr>
          <w:p w14:paraId="7B341F62"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Self-purchased (OTC) and prescribed by healthcare professional</w:t>
            </w:r>
          </w:p>
        </w:tc>
        <w:tc>
          <w:tcPr>
            <w:tcW w:w="1853" w:type="dxa"/>
          </w:tcPr>
          <w:p w14:paraId="19A4FAE6"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POD-specific: </w:t>
            </w:r>
            <w:r w:rsidRPr="00EC21BD">
              <w:rPr>
                <w:color w:val="000000"/>
                <w:sz w:val="18"/>
                <w:szCs w:val="18"/>
              </w:rPr>
              <w:t>self-poisoning; availability; prescribing patterns for painkillers</w:t>
            </w:r>
          </w:p>
          <w:p w14:paraId="693A0C9D"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p>
          <w:p w14:paraId="7302D2AD" w14:textId="77777777" w:rsidR="003B06AA" w:rsidRPr="00EC21BD" w:rsidRDefault="003B06AA" w:rsidP="00DE44B4">
            <w:pPr>
              <w:spacing w:after="0" w:line="240" w:lineRule="auto"/>
              <w:rPr>
                <w:color w:val="000000"/>
                <w:sz w:val="18"/>
                <w:szCs w:val="18"/>
              </w:rPr>
            </w:pPr>
            <w:r w:rsidRPr="00EC21BD">
              <w:rPr>
                <w:color w:val="000000"/>
                <w:sz w:val="18"/>
                <w:szCs w:val="18"/>
              </w:rPr>
              <w:t>none reported</w:t>
            </w:r>
            <w:r w:rsidRPr="00EC21BD">
              <w:rPr>
                <w:color w:val="000000"/>
                <w:sz w:val="18"/>
                <w:szCs w:val="18"/>
              </w:rPr>
              <w:br/>
            </w:r>
          </w:p>
          <w:p w14:paraId="4E59296A"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br/>
            </w:r>
          </w:p>
        </w:tc>
        <w:tc>
          <w:tcPr>
            <w:tcW w:w="1599" w:type="dxa"/>
          </w:tcPr>
          <w:p w14:paraId="4D969702"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Alcohol</w:t>
            </w:r>
          </w:p>
        </w:tc>
      </w:tr>
      <w:tr w:rsidR="003B06AA" w:rsidRPr="00EC21BD" w14:paraId="7C8F0C1C" w14:textId="77777777" w:rsidTr="003B06AA">
        <w:trPr>
          <w:trHeight w:val="1531"/>
          <w:jc w:val="center"/>
        </w:trPr>
        <w:tc>
          <w:tcPr>
            <w:tcW w:w="0" w:type="auto"/>
          </w:tcPr>
          <w:p w14:paraId="22A9DBD8"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Ali, 2019</w:t>
            </w:r>
          </w:p>
          <w:p w14:paraId="6963AE5B" w14:textId="5569FFFA"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proofErr w:type="spellStart"/>
            <w:r w:rsidRPr="00EC21BD">
              <w:rPr>
                <w:color w:val="000000"/>
                <w:sz w:val="18"/>
                <w:szCs w:val="18"/>
              </w:rPr>
              <w:t>Haemodiafiltration</w:t>
            </w:r>
            <w:proofErr w:type="spellEnd"/>
            <w:r w:rsidRPr="00EC21BD">
              <w:rPr>
                <w:color w:val="000000"/>
                <w:sz w:val="18"/>
                <w:szCs w:val="18"/>
              </w:rPr>
              <w:t xml:space="preserve"> as an effective treatment option for massive paracetamol overdose</w:t>
            </w:r>
          </w:p>
        </w:tc>
        <w:tc>
          <w:tcPr>
            <w:tcW w:w="1459" w:type="dxa"/>
          </w:tcPr>
          <w:p w14:paraId="3024BE70"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England-Wolverhampton</w:t>
            </w:r>
          </w:p>
        </w:tc>
        <w:tc>
          <w:tcPr>
            <w:tcW w:w="1459" w:type="dxa"/>
          </w:tcPr>
          <w:p w14:paraId="0CAA9F50"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Case report</w:t>
            </w:r>
          </w:p>
        </w:tc>
        <w:tc>
          <w:tcPr>
            <w:tcW w:w="0" w:type="auto"/>
          </w:tcPr>
          <w:p w14:paraId="08AE84A0"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Older adults</w:t>
            </w:r>
          </w:p>
        </w:tc>
        <w:tc>
          <w:tcPr>
            <w:tcW w:w="0" w:type="auto"/>
          </w:tcPr>
          <w:p w14:paraId="2A22A952"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1 individual</w:t>
            </w:r>
          </w:p>
        </w:tc>
        <w:tc>
          <w:tcPr>
            <w:tcW w:w="0" w:type="auto"/>
          </w:tcPr>
          <w:p w14:paraId="0EC6754D"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1 POD case</w:t>
            </w:r>
          </w:p>
        </w:tc>
        <w:tc>
          <w:tcPr>
            <w:tcW w:w="0" w:type="auto"/>
          </w:tcPr>
          <w:p w14:paraId="6E8EBB86"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100% female</w:t>
            </w:r>
          </w:p>
        </w:tc>
        <w:tc>
          <w:tcPr>
            <w:tcW w:w="0" w:type="auto"/>
          </w:tcPr>
          <w:p w14:paraId="74BCF87D"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NR</w:t>
            </w:r>
          </w:p>
        </w:tc>
        <w:tc>
          <w:tcPr>
            <w:tcW w:w="1266" w:type="dxa"/>
          </w:tcPr>
          <w:p w14:paraId="1095DA82"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1853" w:type="dxa"/>
          </w:tcPr>
          <w:p w14:paraId="5FEC73E2"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POD-specific: </w:t>
            </w:r>
            <w:r w:rsidRPr="00EC21BD">
              <w:rPr>
                <w:color w:val="000000"/>
                <w:sz w:val="18"/>
                <w:szCs w:val="18"/>
              </w:rPr>
              <w:t>self-poisoning</w:t>
            </w:r>
          </w:p>
          <w:p w14:paraId="0D2689F5"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p>
          <w:p w14:paraId="1A874237"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physical health conditions (chronic illness, pain, comorbidities)</w:t>
            </w:r>
          </w:p>
        </w:tc>
        <w:tc>
          <w:tcPr>
            <w:tcW w:w="1599" w:type="dxa"/>
          </w:tcPr>
          <w:p w14:paraId="5203F306"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None reported</w:t>
            </w:r>
          </w:p>
        </w:tc>
      </w:tr>
      <w:tr w:rsidR="003B06AA" w:rsidRPr="00EC21BD" w14:paraId="654805F7" w14:textId="77777777" w:rsidTr="003B06AA">
        <w:trPr>
          <w:trHeight w:val="1985"/>
          <w:jc w:val="center"/>
        </w:trPr>
        <w:tc>
          <w:tcPr>
            <w:tcW w:w="0" w:type="auto"/>
          </w:tcPr>
          <w:p w14:paraId="16D093B2"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Pitman, 2019</w:t>
            </w:r>
          </w:p>
          <w:p w14:paraId="5ABEE183" w14:textId="5E8E0B43"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Access to means of lethal overdose among psychiatric patients with co-morbid physical health problems: Analysis of national suicide case series data from the United Kingdom</w:t>
            </w:r>
          </w:p>
        </w:tc>
        <w:tc>
          <w:tcPr>
            <w:tcW w:w="1459" w:type="dxa"/>
          </w:tcPr>
          <w:p w14:paraId="67DE543A"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United Kingdom</w:t>
            </w:r>
          </w:p>
        </w:tc>
        <w:tc>
          <w:tcPr>
            <w:tcW w:w="1459" w:type="dxa"/>
          </w:tcPr>
          <w:p w14:paraId="575215A7"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Retrospective case series analysis</w:t>
            </w:r>
          </w:p>
        </w:tc>
        <w:tc>
          <w:tcPr>
            <w:tcW w:w="0" w:type="auto"/>
          </w:tcPr>
          <w:p w14:paraId="031586AE"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Adult</w:t>
            </w:r>
            <w:r>
              <w:rPr>
                <w:color w:val="000000"/>
                <w:sz w:val="18"/>
                <w:szCs w:val="18"/>
              </w:rPr>
              <w:t>s; O</w:t>
            </w:r>
            <w:r w:rsidRPr="00EC21BD">
              <w:rPr>
                <w:color w:val="000000"/>
                <w:sz w:val="18"/>
                <w:szCs w:val="18"/>
              </w:rPr>
              <w:t>lder adults</w:t>
            </w:r>
          </w:p>
        </w:tc>
        <w:tc>
          <w:tcPr>
            <w:tcW w:w="0" w:type="auto"/>
          </w:tcPr>
          <w:p w14:paraId="6BDC80F9" w14:textId="3D6716B1"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2004–2015; 57863 suicides (14684 questionnaires analysed)</w:t>
            </w:r>
          </w:p>
        </w:tc>
        <w:tc>
          <w:tcPr>
            <w:tcW w:w="0" w:type="auto"/>
          </w:tcPr>
          <w:p w14:paraId="054CC068" w14:textId="77777777" w:rsidR="003B06AA" w:rsidRPr="00EC21BD" w:rsidRDefault="003B06AA" w:rsidP="00DE44B4">
            <w:pPr>
              <w:spacing w:after="0" w:line="240" w:lineRule="auto"/>
              <w:rPr>
                <w:color w:val="000000"/>
                <w:sz w:val="18"/>
                <w:szCs w:val="18"/>
              </w:rPr>
            </w:pPr>
            <w:proofErr w:type="gramStart"/>
            <w:r w:rsidRPr="00EC21BD">
              <w:rPr>
                <w:color w:val="000000"/>
                <w:sz w:val="18"/>
                <w:szCs w:val="18"/>
              </w:rPr>
              <w:t>2004-2015;</w:t>
            </w:r>
            <w:proofErr w:type="gramEnd"/>
          </w:p>
          <w:p w14:paraId="6C7E0835"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75 POD cases (with comorbidity); 125 (without)</w:t>
            </w:r>
          </w:p>
        </w:tc>
        <w:tc>
          <w:tcPr>
            <w:tcW w:w="0" w:type="auto"/>
          </w:tcPr>
          <w:p w14:paraId="3A0DBC76"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Not extractable</w:t>
            </w:r>
          </w:p>
        </w:tc>
        <w:tc>
          <w:tcPr>
            <w:tcW w:w="0" w:type="auto"/>
          </w:tcPr>
          <w:p w14:paraId="3C03C13A"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NR</w:t>
            </w:r>
          </w:p>
        </w:tc>
        <w:tc>
          <w:tcPr>
            <w:tcW w:w="1266" w:type="dxa"/>
          </w:tcPr>
          <w:p w14:paraId="7718970C"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Pr>
                <w:color w:val="000000"/>
                <w:sz w:val="18"/>
                <w:szCs w:val="18"/>
              </w:rPr>
              <w:t>NR</w:t>
            </w:r>
          </w:p>
        </w:tc>
        <w:tc>
          <w:tcPr>
            <w:tcW w:w="1853" w:type="dxa"/>
          </w:tcPr>
          <w:p w14:paraId="0567A46B"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POD-specific: </w:t>
            </w:r>
            <w:r w:rsidRPr="00EC21BD">
              <w:rPr>
                <w:color w:val="000000"/>
                <w:sz w:val="18"/>
                <w:szCs w:val="18"/>
              </w:rPr>
              <w:t>self-poisoning; overdoses using prescribed medications</w:t>
            </w:r>
          </w:p>
          <w:p w14:paraId="741B567D"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p>
          <w:p w14:paraId="57D1ED66" w14:textId="77777777" w:rsidR="003B06AA" w:rsidRPr="00EC21BD" w:rsidRDefault="003B06AA" w:rsidP="00DE44B4">
            <w:pPr>
              <w:spacing w:after="0" w:line="240" w:lineRule="auto"/>
              <w:rPr>
                <w:color w:val="000000"/>
                <w:sz w:val="18"/>
                <w:szCs w:val="18"/>
              </w:rPr>
            </w:pPr>
            <w:r w:rsidRPr="00EC21BD">
              <w:rPr>
                <w:color w:val="000000"/>
                <w:sz w:val="18"/>
                <w:szCs w:val="18"/>
              </w:rPr>
              <w:t>physical co</w:t>
            </w:r>
            <w:r w:rsidRPr="00EC21BD">
              <w:rPr>
                <w:rFonts w:ascii="Cambria Math" w:hAnsi="Cambria Math" w:cs="Cambria Math"/>
                <w:color w:val="000000"/>
                <w:sz w:val="18"/>
                <w:szCs w:val="18"/>
              </w:rPr>
              <w:t>‑</w:t>
            </w:r>
            <w:r w:rsidRPr="00EC21BD">
              <w:rPr>
                <w:color w:val="000000"/>
                <w:sz w:val="18"/>
                <w:szCs w:val="18"/>
              </w:rPr>
              <w:t>morbidities; chronic Illness; cancer; diabetes; pain conditions; higher suicide risk with physical illness</w:t>
            </w:r>
            <w:r w:rsidRPr="00EC21BD">
              <w:rPr>
                <w:b/>
                <w:bCs/>
                <w:color w:val="000000"/>
                <w:sz w:val="18"/>
                <w:szCs w:val="18"/>
              </w:rPr>
              <w:t xml:space="preserve"> </w:t>
            </w:r>
            <w:r w:rsidRPr="00EC21BD">
              <w:rPr>
                <w:color w:val="000000"/>
                <w:sz w:val="18"/>
                <w:szCs w:val="18"/>
              </w:rPr>
              <w:br/>
            </w:r>
            <w:r w:rsidRPr="00EC21BD">
              <w:rPr>
                <w:color w:val="000000"/>
                <w:sz w:val="18"/>
                <w:szCs w:val="18"/>
              </w:rPr>
              <w:br/>
            </w:r>
          </w:p>
        </w:tc>
        <w:tc>
          <w:tcPr>
            <w:tcW w:w="1599" w:type="dxa"/>
          </w:tcPr>
          <w:p w14:paraId="2B8D42CA"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None reported</w:t>
            </w:r>
          </w:p>
        </w:tc>
      </w:tr>
      <w:tr w:rsidR="003B06AA" w:rsidRPr="00EC21BD" w14:paraId="30A910ED" w14:textId="77777777" w:rsidTr="003B06AA">
        <w:trPr>
          <w:trHeight w:val="680"/>
          <w:jc w:val="center"/>
        </w:trPr>
        <w:tc>
          <w:tcPr>
            <w:tcW w:w="0" w:type="auto"/>
          </w:tcPr>
          <w:p w14:paraId="1719B29E"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Casey, 2020</w:t>
            </w:r>
          </w:p>
          <w:p w14:paraId="4FE621BA" w14:textId="0A52E355"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Paracetamol self-poisoning: Epidemiological study of trends and patient </w:t>
            </w:r>
            <w:r w:rsidRPr="00EC21BD">
              <w:rPr>
                <w:color w:val="000000"/>
                <w:sz w:val="18"/>
                <w:szCs w:val="18"/>
              </w:rPr>
              <w:lastRenderedPageBreak/>
              <w:t>characteristics from the multicentre study of self-harm in England</w:t>
            </w:r>
          </w:p>
        </w:tc>
        <w:tc>
          <w:tcPr>
            <w:tcW w:w="1459" w:type="dxa"/>
          </w:tcPr>
          <w:p w14:paraId="4AA8BD9A"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lastRenderedPageBreak/>
              <w:t>England-Oxford, Manchester, Derby</w:t>
            </w:r>
          </w:p>
        </w:tc>
        <w:tc>
          <w:tcPr>
            <w:tcW w:w="1459" w:type="dxa"/>
          </w:tcPr>
          <w:p w14:paraId="467E9F67"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Observational Study</w:t>
            </w:r>
          </w:p>
        </w:tc>
        <w:tc>
          <w:tcPr>
            <w:tcW w:w="0" w:type="auto"/>
          </w:tcPr>
          <w:p w14:paraId="02B5FFD3"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Any age</w:t>
            </w:r>
            <w:r w:rsidRPr="00EC21BD">
              <w:rPr>
                <w:color w:val="000000"/>
                <w:sz w:val="18"/>
                <w:szCs w:val="18"/>
              </w:rPr>
              <w:br/>
            </w:r>
            <w:r w:rsidRPr="00EC21BD">
              <w:rPr>
                <w:color w:val="000000"/>
                <w:sz w:val="18"/>
                <w:szCs w:val="18"/>
              </w:rPr>
              <w:br/>
            </w:r>
          </w:p>
        </w:tc>
        <w:tc>
          <w:tcPr>
            <w:tcW w:w="0" w:type="auto"/>
          </w:tcPr>
          <w:p w14:paraId="1B23E71E" w14:textId="0DD25594"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2004–2014; 42258 individuals (75132 episodes)</w:t>
            </w:r>
            <w:r w:rsidRPr="00EC21BD">
              <w:rPr>
                <w:color w:val="000000"/>
                <w:sz w:val="18"/>
                <w:szCs w:val="18"/>
              </w:rPr>
              <w:br/>
            </w:r>
            <w:r w:rsidRPr="00EC21BD">
              <w:rPr>
                <w:color w:val="000000"/>
                <w:sz w:val="18"/>
                <w:szCs w:val="18"/>
              </w:rPr>
              <w:lastRenderedPageBreak/>
              <w:br/>
            </w:r>
          </w:p>
        </w:tc>
        <w:tc>
          <w:tcPr>
            <w:tcW w:w="0" w:type="auto"/>
          </w:tcPr>
          <w:p w14:paraId="4B663CD9" w14:textId="77777777" w:rsidR="003B06AA" w:rsidRPr="00EC21BD" w:rsidRDefault="003B06AA" w:rsidP="00DE44B4">
            <w:pPr>
              <w:spacing w:after="0" w:line="240" w:lineRule="auto"/>
              <w:rPr>
                <w:color w:val="000000"/>
                <w:sz w:val="18"/>
                <w:szCs w:val="18"/>
              </w:rPr>
            </w:pPr>
            <w:r w:rsidRPr="00EC21BD">
              <w:rPr>
                <w:color w:val="000000"/>
                <w:sz w:val="18"/>
                <w:szCs w:val="18"/>
              </w:rPr>
              <w:lastRenderedPageBreak/>
              <w:t>2004-2014:</w:t>
            </w:r>
          </w:p>
          <w:p w14:paraId="2C391E3C" w14:textId="5929BA73"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24874 POD episodes</w:t>
            </w:r>
            <w:r w:rsidRPr="00EC21BD">
              <w:rPr>
                <w:color w:val="000000"/>
                <w:sz w:val="18"/>
                <w:szCs w:val="18"/>
              </w:rPr>
              <w:br/>
            </w:r>
            <w:r w:rsidRPr="00EC21BD">
              <w:rPr>
                <w:color w:val="000000"/>
                <w:sz w:val="18"/>
                <w:szCs w:val="18"/>
              </w:rPr>
              <w:br/>
            </w:r>
            <w:r w:rsidRPr="00EC21BD">
              <w:rPr>
                <w:color w:val="000000"/>
                <w:sz w:val="18"/>
                <w:szCs w:val="18"/>
              </w:rPr>
              <w:br/>
            </w:r>
            <w:r w:rsidRPr="00EC21BD">
              <w:rPr>
                <w:color w:val="000000"/>
                <w:sz w:val="18"/>
                <w:szCs w:val="18"/>
              </w:rPr>
              <w:br/>
            </w:r>
            <w:r w:rsidRPr="00EC21BD">
              <w:rPr>
                <w:color w:val="000000"/>
                <w:sz w:val="18"/>
                <w:szCs w:val="18"/>
              </w:rPr>
              <w:lastRenderedPageBreak/>
              <w:br/>
            </w:r>
            <w:r w:rsidRPr="00EC21BD">
              <w:rPr>
                <w:color w:val="000000"/>
                <w:sz w:val="18"/>
                <w:szCs w:val="18"/>
              </w:rPr>
              <w:br/>
            </w:r>
            <w:r w:rsidRPr="00EC21BD">
              <w:rPr>
                <w:color w:val="000000"/>
                <w:sz w:val="18"/>
                <w:szCs w:val="18"/>
              </w:rPr>
              <w:br/>
            </w:r>
            <w:r w:rsidRPr="00EC21BD">
              <w:rPr>
                <w:color w:val="000000"/>
                <w:sz w:val="18"/>
                <w:szCs w:val="18"/>
              </w:rPr>
              <w:br/>
            </w:r>
            <w:r w:rsidRPr="00EC21BD">
              <w:rPr>
                <w:color w:val="000000"/>
                <w:sz w:val="18"/>
                <w:szCs w:val="18"/>
              </w:rPr>
              <w:br/>
            </w:r>
          </w:p>
        </w:tc>
        <w:tc>
          <w:tcPr>
            <w:tcW w:w="0" w:type="auto"/>
          </w:tcPr>
          <w:p w14:paraId="2649AFA0"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lastRenderedPageBreak/>
              <w:t>2004-2014: 63.4% female</w:t>
            </w:r>
          </w:p>
        </w:tc>
        <w:tc>
          <w:tcPr>
            <w:tcW w:w="0" w:type="auto"/>
          </w:tcPr>
          <w:p w14:paraId="73E36011"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NR</w:t>
            </w:r>
          </w:p>
        </w:tc>
        <w:tc>
          <w:tcPr>
            <w:tcW w:w="1266" w:type="dxa"/>
          </w:tcPr>
          <w:p w14:paraId="74E96F4C" w14:textId="77777777" w:rsidR="003B06AA" w:rsidRPr="00EC21BD" w:rsidRDefault="003B06AA" w:rsidP="00DE44B4">
            <w:pPr>
              <w:spacing w:after="0" w:line="240" w:lineRule="auto"/>
              <w:rPr>
                <w:rFonts w:eastAsia="Times New Roman" w:cs="Times New Roman"/>
                <w:color w:val="000000"/>
                <w:kern w:val="0"/>
                <w:sz w:val="18"/>
                <w:szCs w:val="18"/>
                <w:highlight w:val="yellow"/>
                <w:lang w:eastAsia="en-GB"/>
                <w14:ligatures w14:val="none"/>
              </w:rPr>
            </w:pPr>
            <w:r w:rsidRPr="00C957A6">
              <w:rPr>
                <w:color w:val="000000"/>
                <w:sz w:val="18"/>
                <w:szCs w:val="18"/>
              </w:rPr>
              <w:t>NR</w:t>
            </w:r>
          </w:p>
        </w:tc>
        <w:tc>
          <w:tcPr>
            <w:tcW w:w="1853" w:type="dxa"/>
          </w:tcPr>
          <w:p w14:paraId="3A5FB204" w14:textId="77777777" w:rsidR="003B06AA" w:rsidRPr="00EC21BD" w:rsidRDefault="003B06AA" w:rsidP="00DE44B4">
            <w:pPr>
              <w:spacing w:after="0" w:line="240" w:lineRule="auto"/>
              <w:rPr>
                <w:color w:val="000000"/>
                <w:sz w:val="18"/>
                <w:szCs w:val="18"/>
              </w:rPr>
            </w:pPr>
            <w:r w:rsidRPr="00EC21BD">
              <w:rPr>
                <w:b/>
                <w:bCs/>
                <w:color w:val="000000"/>
                <w:sz w:val="18"/>
                <w:szCs w:val="18"/>
              </w:rPr>
              <w:t xml:space="preserve">POD-specific: </w:t>
            </w:r>
            <w:r w:rsidRPr="00EC21BD">
              <w:rPr>
                <w:color w:val="000000"/>
                <w:sz w:val="18"/>
                <w:szCs w:val="18"/>
              </w:rPr>
              <w:t xml:space="preserve">self-poisoning; adolescent age group more likely to use pure paracetamol; older </w:t>
            </w:r>
            <w:r w:rsidRPr="00EC21BD">
              <w:rPr>
                <w:color w:val="000000"/>
                <w:sz w:val="18"/>
                <w:szCs w:val="18"/>
              </w:rPr>
              <w:lastRenderedPageBreak/>
              <w:t>adults less likely to use paracetamol; number of tablets increasing with age; males taking overall larger overdoses; paracetamol availability; large paracetamol household supplies</w:t>
            </w:r>
          </w:p>
          <w:p w14:paraId="043D2397"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p>
          <w:p w14:paraId="388B0D0E"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suicide; previous self-harm; age/sex patterns (young females more likely to use paracetamol)</w:t>
            </w:r>
          </w:p>
          <w:p w14:paraId="4980AA93"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p>
        </w:tc>
        <w:tc>
          <w:tcPr>
            <w:tcW w:w="1599" w:type="dxa"/>
          </w:tcPr>
          <w:p w14:paraId="681CB718" w14:textId="4CFEE231"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lastRenderedPageBreak/>
              <w:t>Alcohol</w:t>
            </w:r>
          </w:p>
        </w:tc>
      </w:tr>
      <w:tr w:rsidR="003B06AA" w:rsidRPr="00EC21BD" w14:paraId="3E44F4DC" w14:textId="77777777" w:rsidTr="003B06AA">
        <w:trPr>
          <w:trHeight w:val="2098"/>
          <w:jc w:val="center"/>
        </w:trPr>
        <w:tc>
          <w:tcPr>
            <w:tcW w:w="0" w:type="auto"/>
          </w:tcPr>
          <w:p w14:paraId="60FB1B94"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Cuellar, 2021</w:t>
            </w:r>
          </w:p>
          <w:p w14:paraId="1C5DE18C" w14:textId="28E7ED20" w:rsidR="003B06AA" w:rsidRPr="00EC21BD" w:rsidRDefault="003B06AA" w:rsidP="00DE44B4">
            <w:pPr>
              <w:spacing w:after="0" w:line="240" w:lineRule="auto"/>
              <w:rPr>
                <w:color w:val="000000"/>
                <w:sz w:val="18"/>
                <w:szCs w:val="18"/>
              </w:rPr>
            </w:pPr>
            <w:r w:rsidRPr="00EC21BD">
              <w:rPr>
                <w:color w:val="000000"/>
                <w:sz w:val="18"/>
                <w:szCs w:val="18"/>
              </w:rPr>
              <w:t xml:space="preserve">A </w:t>
            </w:r>
            <w:proofErr w:type="gramStart"/>
            <w:r w:rsidRPr="00EC21BD">
              <w:rPr>
                <w:color w:val="000000"/>
                <w:sz w:val="18"/>
                <w:szCs w:val="18"/>
              </w:rPr>
              <w:t>ten year</w:t>
            </w:r>
            <w:proofErr w:type="gramEnd"/>
            <w:r w:rsidRPr="00EC21BD">
              <w:rPr>
                <w:color w:val="000000"/>
                <w:sz w:val="18"/>
                <w:szCs w:val="18"/>
              </w:rPr>
              <w:t xml:space="preserve"> retrospective observational analysis of mental health presentations to an inner city tertiary children's emergency department</w:t>
            </w:r>
          </w:p>
          <w:p w14:paraId="58A27719"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p>
        </w:tc>
        <w:tc>
          <w:tcPr>
            <w:tcW w:w="1459" w:type="dxa"/>
          </w:tcPr>
          <w:p w14:paraId="6BBFDF9C"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England-Bristol</w:t>
            </w:r>
          </w:p>
        </w:tc>
        <w:tc>
          <w:tcPr>
            <w:tcW w:w="1459" w:type="dxa"/>
          </w:tcPr>
          <w:p w14:paraId="3AF2423B"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Retrospective Observational Study</w:t>
            </w:r>
          </w:p>
        </w:tc>
        <w:tc>
          <w:tcPr>
            <w:tcW w:w="0" w:type="auto"/>
          </w:tcPr>
          <w:p w14:paraId="7AE3B443"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Children</w:t>
            </w:r>
          </w:p>
        </w:tc>
        <w:tc>
          <w:tcPr>
            <w:tcW w:w="0" w:type="auto"/>
          </w:tcPr>
          <w:p w14:paraId="0C875E96" w14:textId="30E2A3A5"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2011–2020; 4360 presentations</w:t>
            </w:r>
          </w:p>
        </w:tc>
        <w:tc>
          <w:tcPr>
            <w:tcW w:w="0" w:type="auto"/>
          </w:tcPr>
          <w:p w14:paraId="404457DD" w14:textId="77777777" w:rsidR="003B06AA" w:rsidRPr="00EC21BD" w:rsidRDefault="003B06AA" w:rsidP="00DE44B4">
            <w:pPr>
              <w:spacing w:after="0" w:line="240" w:lineRule="auto"/>
              <w:rPr>
                <w:color w:val="000000"/>
                <w:sz w:val="18"/>
                <w:szCs w:val="18"/>
              </w:rPr>
            </w:pPr>
            <w:proofErr w:type="gramStart"/>
            <w:r w:rsidRPr="00EC21BD">
              <w:rPr>
                <w:color w:val="000000"/>
                <w:sz w:val="18"/>
                <w:szCs w:val="18"/>
              </w:rPr>
              <w:t>2011-2020;</w:t>
            </w:r>
            <w:proofErr w:type="gramEnd"/>
          </w:p>
          <w:p w14:paraId="18EB9C0B"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714 POD cases</w:t>
            </w:r>
          </w:p>
        </w:tc>
        <w:tc>
          <w:tcPr>
            <w:tcW w:w="0" w:type="auto"/>
          </w:tcPr>
          <w:p w14:paraId="21CE14E9"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Not extractable</w:t>
            </w:r>
            <w:r w:rsidRPr="00EC21BD">
              <w:rPr>
                <w:color w:val="000000"/>
                <w:sz w:val="18"/>
                <w:szCs w:val="18"/>
              </w:rPr>
              <w:br/>
            </w:r>
            <w:r w:rsidRPr="00EC21BD">
              <w:rPr>
                <w:color w:val="000000"/>
                <w:sz w:val="18"/>
                <w:szCs w:val="18"/>
              </w:rPr>
              <w:br/>
            </w:r>
          </w:p>
        </w:tc>
        <w:tc>
          <w:tcPr>
            <w:tcW w:w="0" w:type="auto"/>
          </w:tcPr>
          <w:p w14:paraId="7A04E9FC"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1266" w:type="dxa"/>
          </w:tcPr>
          <w:p w14:paraId="2991635B"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1853" w:type="dxa"/>
          </w:tcPr>
          <w:p w14:paraId="499D68CF"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POD-specific: </w:t>
            </w:r>
            <w:r w:rsidRPr="00EC21BD">
              <w:rPr>
                <w:color w:val="000000"/>
                <w:sz w:val="18"/>
                <w:szCs w:val="18"/>
              </w:rPr>
              <w:t>self-poisoning</w:t>
            </w:r>
          </w:p>
          <w:p w14:paraId="36CAA35E"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p>
          <w:p w14:paraId="16EA22A5"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Mental health conditions</w:t>
            </w:r>
          </w:p>
        </w:tc>
        <w:tc>
          <w:tcPr>
            <w:tcW w:w="1599" w:type="dxa"/>
          </w:tcPr>
          <w:p w14:paraId="2F3FD116" w14:textId="69384FD5"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Alcohol; NSAIDs</w:t>
            </w:r>
          </w:p>
        </w:tc>
      </w:tr>
      <w:tr w:rsidR="003B06AA" w:rsidRPr="00EC21BD" w14:paraId="10FC86BA" w14:textId="77777777" w:rsidTr="003B06AA">
        <w:trPr>
          <w:trHeight w:val="1757"/>
          <w:jc w:val="center"/>
        </w:trPr>
        <w:tc>
          <w:tcPr>
            <w:tcW w:w="0" w:type="auto"/>
          </w:tcPr>
          <w:p w14:paraId="76727AC7"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Henry, 2021</w:t>
            </w:r>
          </w:p>
          <w:p w14:paraId="20DD22D9" w14:textId="6480B5C5"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The effect of COVID-19 lockdown on the incidence of deliberate self-harm injuries presenting to the emergency room</w:t>
            </w:r>
          </w:p>
        </w:tc>
        <w:tc>
          <w:tcPr>
            <w:tcW w:w="1459" w:type="dxa"/>
          </w:tcPr>
          <w:p w14:paraId="5E8EB0BA"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England-Birmingham</w:t>
            </w:r>
          </w:p>
        </w:tc>
        <w:tc>
          <w:tcPr>
            <w:tcW w:w="1459" w:type="dxa"/>
          </w:tcPr>
          <w:p w14:paraId="231EBDDE"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Retrospective observational study</w:t>
            </w:r>
          </w:p>
        </w:tc>
        <w:tc>
          <w:tcPr>
            <w:tcW w:w="0" w:type="auto"/>
          </w:tcPr>
          <w:p w14:paraId="6D66AF82"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Adults</w:t>
            </w:r>
            <w:r>
              <w:rPr>
                <w:color w:val="000000"/>
                <w:sz w:val="18"/>
                <w:szCs w:val="18"/>
              </w:rPr>
              <w:t>;</w:t>
            </w:r>
            <w:r w:rsidRPr="00EC21BD">
              <w:rPr>
                <w:color w:val="000000"/>
                <w:sz w:val="18"/>
                <w:szCs w:val="18"/>
              </w:rPr>
              <w:t xml:space="preserve"> Older adults</w:t>
            </w:r>
          </w:p>
        </w:tc>
        <w:tc>
          <w:tcPr>
            <w:tcW w:w="0" w:type="auto"/>
          </w:tcPr>
          <w:p w14:paraId="17680178" w14:textId="01ACD0EE"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2019-2020</w:t>
            </w:r>
            <w:r>
              <w:rPr>
                <w:color w:val="000000"/>
                <w:sz w:val="18"/>
                <w:szCs w:val="18"/>
              </w:rPr>
              <w:t>;</w:t>
            </w:r>
            <w:r w:rsidRPr="00EC21BD">
              <w:rPr>
                <w:color w:val="000000"/>
                <w:sz w:val="18"/>
                <w:szCs w:val="18"/>
              </w:rPr>
              <w:br/>
              <w:t>8257 ED attendances;</w:t>
            </w:r>
            <w:r w:rsidRPr="00EC21BD">
              <w:rPr>
                <w:color w:val="000000"/>
                <w:sz w:val="18"/>
                <w:szCs w:val="18"/>
              </w:rPr>
              <w:br/>
              <w:t>216 DSH</w:t>
            </w:r>
          </w:p>
        </w:tc>
        <w:tc>
          <w:tcPr>
            <w:tcW w:w="0" w:type="auto"/>
          </w:tcPr>
          <w:p w14:paraId="0C0D1A29" w14:textId="77777777" w:rsidR="003B06AA" w:rsidRDefault="003B06AA" w:rsidP="00DE44B4">
            <w:pPr>
              <w:spacing w:after="0" w:line="240" w:lineRule="auto"/>
              <w:rPr>
                <w:color w:val="000000"/>
                <w:sz w:val="18"/>
                <w:szCs w:val="18"/>
              </w:rPr>
            </w:pPr>
            <w:r w:rsidRPr="00EC21BD">
              <w:rPr>
                <w:color w:val="000000"/>
                <w:sz w:val="18"/>
                <w:szCs w:val="18"/>
              </w:rPr>
              <w:t>•2019</w:t>
            </w:r>
            <w:r>
              <w:rPr>
                <w:color w:val="000000"/>
                <w:sz w:val="18"/>
                <w:szCs w:val="18"/>
              </w:rPr>
              <w:t>;</w:t>
            </w:r>
            <w:r w:rsidRPr="00EC21BD">
              <w:rPr>
                <w:color w:val="000000"/>
                <w:sz w:val="18"/>
                <w:szCs w:val="18"/>
              </w:rPr>
              <w:t xml:space="preserve"> 33 </w:t>
            </w:r>
            <w:proofErr w:type="gramStart"/>
            <w:r w:rsidRPr="00EC21BD">
              <w:rPr>
                <w:color w:val="000000"/>
                <w:sz w:val="18"/>
                <w:szCs w:val="18"/>
              </w:rPr>
              <w:t>POD;</w:t>
            </w:r>
            <w:proofErr w:type="gramEnd"/>
            <w:r w:rsidRPr="00EC21BD">
              <w:rPr>
                <w:color w:val="000000"/>
                <w:sz w:val="18"/>
                <w:szCs w:val="18"/>
              </w:rPr>
              <w:t xml:space="preserve"> </w:t>
            </w:r>
          </w:p>
          <w:p w14:paraId="6DB147E5"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•2020: 45 POD</w:t>
            </w:r>
          </w:p>
        </w:tc>
        <w:tc>
          <w:tcPr>
            <w:tcW w:w="0" w:type="auto"/>
          </w:tcPr>
          <w:p w14:paraId="45201474"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NR </w:t>
            </w:r>
          </w:p>
        </w:tc>
        <w:tc>
          <w:tcPr>
            <w:tcW w:w="0" w:type="auto"/>
          </w:tcPr>
          <w:p w14:paraId="7ABD6E25"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NR</w:t>
            </w:r>
          </w:p>
        </w:tc>
        <w:tc>
          <w:tcPr>
            <w:tcW w:w="1266" w:type="dxa"/>
          </w:tcPr>
          <w:p w14:paraId="503770A2"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1853" w:type="dxa"/>
          </w:tcPr>
          <w:p w14:paraId="79E8E5F8" w14:textId="77777777" w:rsidR="003B06AA" w:rsidRPr="00EC21BD" w:rsidRDefault="003B06AA" w:rsidP="00DE44B4">
            <w:pPr>
              <w:spacing w:after="0" w:line="240" w:lineRule="auto"/>
              <w:rPr>
                <w:color w:val="000000"/>
                <w:sz w:val="18"/>
                <w:szCs w:val="18"/>
              </w:rPr>
            </w:pPr>
            <w:r w:rsidRPr="00EC21BD">
              <w:rPr>
                <w:b/>
                <w:bCs/>
                <w:color w:val="000000"/>
                <w:sz w:val="18"/>
                <w:szCs w:val="18"/>
              </w:rPr>
              <w:t xml:space="preserve">POD-specific: </w:t>
            </w:r>
            <w:r w:rsidRPr="00EC21BD">
              <w:rPr>
                <w:color w:val="000000"/>
                <w:sz w:val="18"/>
                <w:szCs w:val="18"/>
              </w:rPr>
              <w:t>increased household availability of paracetamol during COVID-19</w:t>
            </w:r>
          </w:p>
          <w:p w14:paraId="76CB433E"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p>
          <w:p w14:paraId="6EDF8DF1"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mental health impact of COVID-19 lockdown </w:t>
            </w:r>
          </w:p>
        </w:tc>
        <w:tc>
          <w:tcPr>
            <w:tcW w:w="1599" w:type="dxa"/>
          </w:tcPr>
          <w:p w14:paraId="11555076"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None reported</w:t>
            </w:r>
          </w:p>
        </w:tc>
      </w:tr>
      <w:tr w:rsidR="003B06AA" w:rsidRPr="00EC21BD" w14:paraId="0015BD45" w14:textId="77777777" w:rsidTr="003B06AA">
        <w:trPr>
          <w:trHeight w:val="1871"/>
          <w:jc w:val="center"/>
        </w:trPr>
        <w:tc>
          <w:tcPr>
            <w:tcW w:w="0" w:type="auto"/>
          </w:tcPr>
          <w:p w14:paraId="42C94877"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Cuellar, 2021</w:t>
            </w:r>
          </w:p>
          <w:p w14:paraId="3EEDCE3A" w14:textId="38CA3BE8"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Assessing the impact the covid-19 pandemic has had on children's mental health presentations to a tertiary children's </w:t>
            </w:r>
            <w:r w:rsidRPr="00EC21BD">
              <w:rPr>
                <w:color w:val="000000"/>
                <w:sz w:val="18"/>
                <w:szCs w:val="18"/>
              </w:rPr>
              <w:lastRenderedPageBreak/>
              <w:t>emergency department</w:t>
            </w:r>
          </w:p>
        </w:tc>
        <w:tc>
          <w:tcPr>
            <w:tcW w:w="1459" w:type="dxa"/>
          </w:tcPr>
          <w:p w14:paraId="440D6E79"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lastRenderedPageBreak/>
              <w:t>England-Bristol</w:t>
            </w:r>
          </w:p>
        </w:tc>
        <w:tc>
          <w:tcPr>
            <w:tcW w:w="1459" w:type="dxa"/>
          </w:tcPr>
          <w:p w14:paraId="5253E4E8"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Poster presentation, Single centre retrospective chart review in a tertiary children hospital</w:t>
            </w:r>
          </w:p>
        </w:tc>
        <w:tc>
          <w:tcPr>
            <w:tcW w:w="0" w:type="auto"/>
          </w:tcPr>
          <w:p w14:paraId="77818706"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Children</w:t>
            </w:r>
            <w:r>
              <w:rPr>
                <w:color w:val="000000"/>
                <w:sz w:val="18"/>
                <w:szCs w:val="18"/>
              </w:rPr>
              <w:t>;</w:t>
            </w:r>
            <w:r w:rsidRPr="00EC21BD">
              <w:rPr>
                <w:color w:val="000000"/>
                <w:sz w:val="18"/>
                <w:szCs w:val="18"/>
              </w:rPr>
              <w:t xml:space="preserve"> Young </w:t>
            </w:r>
            <w:r>
              <w:rPr>
                <w:color w:val="000000"/>
                <w:sz w:val="18"/>
                <w:szCs w:val="18"/>
              </w:rPr>
              <w:t>adults</w:t>
            </w:r>
          </w:p>
        </w:tc>
        <w:tc>
          <w:tcPr>
            <w:tcW w:w="0" w:type="auto"/>
          </w:tcPr>
          <w:p w14:paraId="3F25DCDA" w14:textId="77777777" w:rsidR="003B06AA" w:rsidRPr="00EC21BD" w:rsidRDefault="003B06AA" w:rsidP="00DE44B4">
            <w:pPr>
              <w:spacing w:after="0" w:line="240" w:lineRule="auto"/>
              <w:rPr>
                <w:color w:val="000000"/>
                <w:sz w:val="18"/>
                <w:szCs w:val="18"/>
              </w:rPr>
            </w:pPr>
            <w:r w:rsidRPr="00EC21BD">
              <w:rPr>
                <w:color w:val="000000"/>
                <w:sz w:val="18"/>
                <w:szCs w:val="18"/>
              </w:rPr>
              <w:t xml:space="preserve">MH presentations during each of the UK </w:t>
            </w:r>
            <w:proofErr w:type="gramStart"/>
            <w:r w:rsidRPr="00EC21BD">
              <w:rPr>
                <w:color w:val="000000"/>
                <w:sz w:val="18"/>
                <w:szCs w:val="18"/>
              </w:rPr>
              <w:t>lockdown;</w:t>
            </w:r>
            <w:proofErr w:type="gramEnd"/>
            <w:r w:rsidRPr="00EC21BD">
              <w:rPr>
                <w:color w:val="000000"/>
                <w:sz w:val="18"/>
                <w:szCs w:val="18"/>
              </w:rPr>
              <w:t xml:space="preserve"> </w:t>
            </w:r>
          </w:p>
          <w:p w14:paraId="2A9671C9"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•first lockdown: 146 presentations; •second </w:t>
            </w:r>
            <w:r w:rsidRPr="00EC21BD">
              <w:rPr>
                <w:color w:val="000000"/>
                <w:sz w:val="18"/>
                <w:szCs w:val="18"/>
              </w:rPr>
              <w:lastRenderedPageBreak/>
              <w:t xml:space="preserve">lockdown: 76 presentations; </w:t>
            </w:r>
            <w:r w:rsidRPr="00EC21BD">
              <w:rPr>
                <w:color w:val="000000"/>
                <w:sz w:val="18"/>
                <w:szCs w:val="18"/>
              </w:rPr>
              <w:br/>
              <w:t xml:space="preserve">•third lockdown: 200 presentations </w:t>
            </w:r>
            <w:r w:rsidRPr="00EC21BD">
              <w:rPr>
                <w:color w:val="000000"/>
                <w:sz w:val="18"/>
                <w:szCs w:val="18"/>
              </w:rPr>
              <w:br/>
            </w:r>
          </w:p>
        </w:tc>
        <w:tc>
          <w:tcPr>
            <w:tcW w:w="0" w:type="auto"/>
          </w:tcPr>
          <w:p w14:paraId="6897F6A5"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lastRenderedPageBreak/>
              <w:t>86 POD presentations</w:t>
            </w:r>
          </w:p>
        </w:tc>
        <w:tc>
          <w:tcPr>
            <w:tcW w:w="0" w:type="auto"/>
          </w:tcPr>
          <w:p w14:paraId="28DE14D9"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Not extractable</w:t>
            </w:r>
          </w:p>
        </w:tc>
        <w:tc>
          <w:tcPr>
            <w:tcW w:w="0" w:type="auto"/>
          </w:tcPr>
          <w:p w14:paraId="6AD29ACD"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1266" w:type="dxa"/>
          </w:tcPr>
          <w:p w14:paraId="2C899FBD"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1853" w:type="dxa"/>
          </w:tcPr>
          <w:p w14:paraId="36C1D37A" w14:textId="77777777" w:rsidR="003B06AA" w:rsidRPr="00EC21BD" w:rsidRDefault="003B06AA" w:rsidP="00DE44B4">
            <w:pPr>
              <w:spacing w:after="0" w:line="240" w:lineRule="auto"/>
              <w:rPr>
                <w:color w:val="000000"/>
                <w:sz w:val="18"/>
                <w:szCs w:val="18"/>
              </w:rPr>
            </w:pPr>
            <w:r w:rsidRPr="00EC21BD">
              <w:rPr>
                <w:b/>
                <w:bCs/>
                <w:color w:val="000000"/>
                <w:sz w:val="18"/>
                <w:szCs w:val="18"/>
              </w:rPr>
              <w:t xml:space="preserve">POD-specific: </w:t>
            </w:r>
            <w:r w:rsidRPr="00EC21BD">
              <w:rPr>
                <w:color w:val="000000"/>
                <w:sz w:val="18"/>
                <w:szCs w:val="18"/>
              </w:rPr>
              <w:t>self-poisoning</w:t>
            </w:r>
          </w:p>
          <w:p w14:paraId="44DAC38A"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r w:rsidRPr="00EC21BD">
              <w:rPr>
                <w:color w:val="000000"/>
                <w:sz w:val="18"/>
                <w:szCs w:val="18"/>
              </w:rPr>
              <w:t xml:space="preserve">isolation during COVID-19 lockdown, mental health changes, financial uncertainty; </w:t>
            </w:r>
            <w:r w:rsidRPr="00EC21BD">
              <w:rPr>
                <w:color w:val="000000"/>
                <w:sz w:val="18"/>
                <w:szCs w:val="18"/>
              </w:rPr>
              <w:lastRenderedPageBreak/>
              <w:t xml:space="preserve">educational uncertainty </w:t>
            </w:r>
          </w:p>
        </w:tc>
        <w:tc>
          <w:tcPr>
            <w:tcW w:w="1599" w:type="dxa"/>
          </w:tcPr>
          <w:p w14:paraId="178C6545"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lastRenderedPageBreak/>
              <w:t>None reported</w:t>
            </w:r>
          </w:p>
        </w:tc>
      </w:tr>
      <w:tr w:rsidR="003B06AA" w:rsidRPr="00EC21BD" w14:paraId="6C5EB77C" w14:textId="77777777" w:rsidTr="003B06AA">
        <w:trPr>
          <w:trHeight w:val="1985"/>
          <w:jc w:val="center"/>
        </w:trPr>
        <w:tc>
          <w:tcPr>
            <w:tcW w:w="0" w:type="auto"/>
          </w:tcPr>
          <w:p w14:paraId="5D0AB231" w14:textId="77777777" w:rsidR="003B06AA" w:rsidRPr="00EC21BD" w:rsidRDefault="003B06AA" w:rsidP="00DE44B4">
            <w:pPr>
              <w:spacing w:after="0" w:line="240" w:lineRule="auto"/>
              <w:rPr>
                <w:color w:val="000000"/>
                <w:sz w:val="18"/>
                <w:szCs w:val="18"/>
              </w:rPr>
            </w:pPr>
            <w:r w:rsidRPr="00EC21BD">
              <w:rPr>
                <w:b/>
                <w:bCs/>
                <w:color w:val="000000"/>
                <w:sz w:val="18"/>
                <w:szCs w:val="18"/>
              </w:rPr>
              <w:t>Clements, 2023</w:t>
            </w:r>
          </w:p>
          <w:p w14:paraId="7E62EF7E" w14:textId="4168F7FE"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Self-harm in university students: A comparative analysis of data from the Multicentre Study of Self-harm in England</w:t>
            </w:r>
          </w:p>
        </w:tc>
        <w:tc>
          <w:tcPr>
            <w:tcW w:w="1459" w:type="dxa"/>
          </w:tcPr>
          <w:p w14:paraId="348ABF9E"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England-Oxford, Manchester, and Derby</w:t>
            </w:r>
          </w:p>
        </w:tc>
        <w:tc>
          <w:tcPr>
            <w:tcW w:w="1459" w:type="dxa"/>
          </w:tcPr>
          <w:p w14:paraId="49E5DA34"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Retrospective Multicentre Observational Study</w:t>
            </w:r>
          </w:p>
        </w:tc>
        <w:tc>
          <w:tcPr>
            <w:tcW w:w="0" w:type="auto"/>
          </w:tcPr>
          <w:p w14:paraId="11F0D383"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Young</w:t>
            </w:r>
            <w:r>
              <w:rPr>
                <w:color w:val="000000"/>
                <w:sz w:val="18"/>
                <w:szCs w:val="18"/>
              </w:rPr>
              <w:t xml:space="preserve"> adults; </w:t>
            </w:r>
            <w:r w:rsidRPr="00EC21BD">
              <w:rPr>
                <w:color w:val="000000"/>
                <w:sz w:val="18"/>
                <w:szCs w:val="18"/>
              </w:rPr>
              <w:t>Adults</w:t>
            </w:r>
            <w:r w:rsidRPr="00EC21BD">
              <w:rPr>
                <w:color w:val="000000"/>
                <w:sz w:val="18"/>
                <w:szCs w:val="18"/>
              </w:rPr>
              <w:br/>
            </w:r>
            <w:r w:rsidRPr="00EC21BD">
              <w:rPr>
                <w:color w:val="000000"/>
                <w:sz w:val="18"/>
                <w:szCs w:val="18"/>
              </w:rPr>
              <w:br/>
            </w:r>
          </w:p>
        </w:tc>
        <w:tc>
          <w:tcPr>
            <w:tcW w:w="0" w:type="auto"/>
          </w:tcPr>
          <w:p w14:paraId="5EEEFB2A" w14:textId="23F3C889"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2003-2016: </w:t>
            </w:r>
            <w:r w:rsidRPr="00EC21BD">
              <w:rPr>
                <w:color w:val="000000"/>
                <w:sz w:val="18"/>
                <w:szCs w:val="18"/>
              </w:rPr>
              <w:br/>
              <w:t>4776 students’ presentations (3491 individuals);</w:t>
            </w:r>
            <w:r w:rsidRPr="00EC21BD">
              <w:rPr>
                <w:color w:val="000000"/>
                <w:sz w:val="18"/>
                <w:szCs w:val="18"/>
              </w:rPr>
              <w:br/>
              <w:t>13705 non-students’ presentations (7807 individuals).</w:t>
            </w:r>
            <w:r w:rsidRPr="00EC21BD">
              <w:rPr>
                <w:color w:val="000000"/>
                <w:sz w:val="18"/>
                <w:szCs w:val="18"/>
              </w:rPr>
              <w:br/>
            </w:r>
          </w:p>
        </w:tc>
        <w:tc>
          <w:tcPr>
            <w:tcW w:w="0" w:type="auto"/>
          </w:tcPr>
          <w:p w14:paraId="11266B67" w14:textId="558710B1"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2003-2016: Students: 1237 POD; Non</w:t>
            </w:r>
            <w:r>
              <w:rPr>
                <w:color w:val="000000"/>
                <w:sz w:val="18"/>
                <w:szCs w:val="18"/>
              </w:rPr>
              <w:t>-</w:t>
            </w:r>
            <w:r w:rsidRPr="00EC21BD">
              <w:rPr>
                <w:color w:val="000000"/>
                <w:sz w:val="18"/>
                <w:szCs w:val="18"/>
              </w:rPr>
              <w:t>students: 2651 POD</w:t>
            </w:r>
          </w:p>
        </w:tc>
        <w:tc>
          <w:tcPr>
            <w:tcW w:w="0" w:type="auto"/>
          </w:tcPr>
          <w:p w14:paraId="09F30C8A"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Not extractable for POD (overall: more females)</w:t>
            </w:r>
          </w:p>
        </w:tc>
        <w:tc>
          <w:tcPr>
            <w:tcW w:w="0" w:type="auto"/>
          </w:tcPr>
          <w:p w14:paraId="4C34AD80"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Students less likely to live in most deprived areas (not POD specific)</w:t>
            </w:r>
          </w:p>
        </w:tc>
        <w:tc>
          <w:tcPr>
            <w:tcW w:w="1266" w:type="dxa"/>
          </w:tcPr>
          <w:p w14:paraId="1BF0D727"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NR</w:t>
            </w:r>
          </w:p>
        </w:tc>
        <w:tc>
          <w:tcPr>
            <w:tcW w:w="1853" w:type="dxa"/>
          </w:tcPr>
          <w:p w14:paraId="017AA9DF" w14:textId="77777777" w:rsidR="003B06AA" w:rsidRPr="00EC21BD" w:rsidRDefault="003B06AA" w:rsidP="00DE44B4">
            <w:pPr>
              <w:spacing w:after="0" w:line="240" w:lineRule="auto"/>
              <w:rPr>
                <w:color w:val="000000"/>
                <w:sz w:val="18"/>
                <w:szCs w:val="18"/>
              </w:rPr>
            </w:pPr>
            <w:r w:rsidRPr="00EC21BD">
              <w:rPr>
                <w:b/>
                <w:bCs/>
                <w:color w:val="000000"/>
                <w:sz w:val="18"/>
                <w:szCs w:val="18"/>
              </w:rPr>
              <w:t xml:space="preserve">POD-specific: </w:t>
            </w:r>
            <w:r w:rsidRPr="00EC21BD">
              <w:rPr>
                <w:color w:val="000000"/>
                <w:sz w:val="18"/>
                <w:szCs w:val="18"/>
              </w:rPr>
              <w:t>self-poisoning</w:t>
            </w:r>
          </w:p>
          <w:p w14:paraId="59D3740D"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p>
          <w:p w14:paraId="2017FEBA"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Relationship problems; academic pressure; employments problems; mental health problems; </w:t>
            </w:r>
            <w:r w:rsidRPr="00EC21BD">
              <w:rPr>
                <w:color w:val="000000"/>
                <w:sz w:val="18"/>
                <w:szCs w:val="18"/>
              </w:rPr>
              <w:br/>
              <w:t xml:space="preserve">seasonal patterns (SH higher in October, November and February); being away from home; exams stress; financial problems (non-students); partners’ relationship problems (non-students); drugs and alcohol involvement (non-students) </w:t>
            </w:r>
            <w:r w:rsidRPr="00EC21BD">
              <w:rPr>
                <w:color w:val="000000"/>
                <w:sz w:val="18"/>
                <w:szCs w:val="18"/>
              </w:rPr>
              <w:br/>
            </w:r>
          </w:p>
        </w:tc>
        <w:tc>
          <w:tcPr>
            <w:tcW w:w="1599" w:type="dxa"/>
          </w:tcPr>
          <w:p w14:paraId="5393E901"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 xml:space="preserve">Alcohol; antidepressants; </w:t>
            </w:r>
            <w:r>
              <w:rPr>
                <w:rFonts w:eastAsia="Times New Roman" w:cs="Times New Roman"/>
                <w:color w:val="000000"/>
                <w:kern w:val="0"/>
                <w:sz w:val="18"/>
                <w:szCs w:val="18"/>
                <w:lang w:eastAsia="en-GB"/>
                <w14:ligatures w14:val="none"/>
              </w:rPr>
              <w:t>multiple medications</w:t>
            </w:r>
          </w:p>
        </w:tc>
      </w:tr>
      <w:tr w:rsidR="003B06AA" w:rsidRPr="00EC21BD" w14:paraId="488B9FF9" w14:textId="77777777" w:rsidTr="003B06AA">
        <w:trPr>
          <w:trHeight w:val="1985"/>
          <w:jc w:val="center"/>
        </w:trPr>
        <w:tc>
          <w:tcPr>
            <w:tcW w:w="0" w:type="auto"/>
          </w:tcPr>
          <w:p w14:paraId="08B1EE03"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Campos, 2023</w:t>
            </w:r>
          </w:p>
          <w:p w14:paraId="2D04942D" w14:textId="72FE946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Understanding paracetamol overdoses attending Alder Hey Children’s Hospital and Improving patient care</w:t>
            </w:r>
          </w:p>
        </w:tc>
        <w:tc>
          <w:tcPr>
            <w:tcW w:w="1459" w:type="dxa"/>
          </w:tcPr>
          <w:p w14:paraId="23B546D6"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England-Liverpool</w:t>
            </w:r>
          </w:p>
        </w:tc>
        <w:tc>
          <w:tcPr>
            <w:tcW w:w="1459" w:type="dxa"/>
          </w:tcPr>
          <w:p w14:paraId="7C6B33F7"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Retrospective Observational Study. Poster presentation</w:t>
            </w:r>
          </w:p>
        </w:tc>
        <w:tc>
          <w:tcPr>
            <w:tcW w:w="0" w:type="auto"/>
          </w:tcPr>
          <w:p w14:paraId="37B57BB9"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Children</w:t>
            </w:r>
          </w:p>
        </w:tc>
        <w:tc>
          <w:tcPr>
            <w:tcW w:w="0" w:type="auto"/>
          </w:tcPr>
          <w:p w14:paraId="48583EC0"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2020–2021; 163 individuals</w:t>
            </w:r>
          </w:p>
        </w:tc>
        <w:tc>
          <w:tcPr>
            <w:tcW w:w="0" w:type="auto"/>
          </w:tcPr>
          <w:p w14:paraId="7C6C1DB8"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2020-2021: 163 POD cases</w:t>
            </w:r>
          </w:p>
        </w:tc>
        <w:tc>
          <w:tcPr>
            <w:tcW w:w="0" w:type="auto"/>
          </w:tcPr>
          <w:p w14:paraId="5ABD111B"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0" w:type="auto"/>
          </w:tcPr>
          <w:p w14:paraId="22461CFD"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1266" w:type="dxa"/>
          </w:tcPr>
          <w:p w14:paraId="76D2EA20"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1853" w:type="dxa"/>
          </w:tcPr>
          <w:p w14:paraId="146CD420" w14:textId="77777777" w:rsidR="003B06AA" w:rsidRPr="00EC21BD" w:rsidRDefault="003B06AA" w:rsidP="00DE44B4">
            <w:pPr>
              <w:spacing w:after="0" w:line="240" w:lineRule="auto"/>
              <w:rPr>
                <w:color w:val="000000"/>
                <w:sz w:val="18"/>
                <w:szCs w:val="18"/>
              </w:rPr>
            </w:pPr>
            <w:r w:rsidRPr="00EC21BD">
              <w:rPr>
                <w:b/>
                <w:bCs/>
                <w:color w:val="000000"/>
                <w:sz w:val="18"/>
                <w:szCs w:val="18"/>
              </w:rPr>
              <w:t xml:space="preserve">POD-specific: </w:t>
            </w:r>
            <w:r w:rsidRPr="00EC21BD">
              <w:rPr>
                <w:color w:val="000000"/>
                <w:sz w:val="18"/>
                <w:szCs w:val="18"/>
              </w:rPr>
              <w:t xml:space="preserve">young age </w:t>
            </w:r>
          </w:p>
          <w:p w14:paraId="2E1284E7"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p>
          <w:p w14:paraId="17814B04"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none reported</w:t>
            </w:r>
          </w:p>
        </w:tc>
        <w:tc>
          <w:tcPr>
            <w:tcW w:w="1599" w:type="dxa"/>
          </w:tcPr>
          <w:p w14:paraId="56279BAA"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None reported</w:t>
            </w:r>
          </w:p>
        </w:tc>
      </w:tr>
      <w:tr w:rsidR="003B06AA" w:rsidRPr="00EC21BD" w14:paraId="44501320" w14:textId="77777777" w:rsidTr="003B06AA">
        <w:trPr>
          <w:trHeight w:val="737"/>
          <w:jc w:val="center"/>
        </w:trPr>
        <w:tc>
          <w:tcPr>
            <w:tcW w:w="0" w:type="auto"/>
          </w:tcPr>
          <w:p w14:paraId="2F84FDC8" w14:textId="77777777" w:rsidR="003B06AA" w:rsidRPr="00EC21BD" w:rsidRDefault="003B06AA" w:rsidP="00DE44B4">
            <w:pPr>
              <w:spacing w:after="0" w:line="240" w:lineRule="auto"/>
              <w:rPr>
                <w:color w:val="000000"/>
                <w:sz w:val="18"/>
                <w:szCs w:val="18"/>
              </w:rPr>
            </w:pPr>
            <w:r w:rsidRPr="00EC21BD">
              <w:rPr>
                <w:b/>
                <w:bCs/>
                <w:color w:val="000000"/>
                <w:sz w:val="18"/>
                <w:szCs w:val="18"/>
              </w:rPr>
              <w:t>Groves, 2024</w:t>
            </w:r>
          </w:p>
          <w:p w14:paraId="1C08B1D5" w14:textId="2B90180C"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Self-Harm by Nurses and Midwives - A Study </w:t>
            </w:r>
            <w:r w:rsidRPr="00EC21BD">
              <w:rPr>
                <w:color w:val="000000"/>
                <w:sz w:val="18"/>
                <w:szCs w:val="18"/>
              </w:rPr>
              <w:lastRenderedPageBreak/>
              <w:t>of Hospital Presentations</w:t>
            </w:r>
          </w:p>
        </w:tc>
        <w:tc>
          <w:tcPr>
            <w:tcW w:w="1459" w:type="dxa"/>
          </w:tcPr>
          <w:p w14:paraId="149AF97F"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lastRenderedPageBreak/>
              <w:t>England-Oxford</w:t>
            </w:r>
          </w:p>
        </w:tc>
        <w:tc>
          <w:tcPr>
            <w:tcW w:w="1459" w:type="dxa"/>
          </w:tcPr>
          <w:p w14:paraId="18622AB2"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Observational Study</w:t>
            </w:r>
          </w:p>
        </w:tc>
        <w:tc>
          <w:tcPr>
            <w:tcW w:w="0" w:type="auto"/>
          </w:tcPr>
          <w:p w14:paraId="090CB2ED"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Adults</w:t>
            </w:r>
            <w:r w:rsidRPr="00EC21BD">
              <w:rPr>
                <w:color w:val="000000"/>
                <w:sz w:val="18"/>
                <w:szCs w:val="18"/>
              </w:rPr>
              <w:br/>
            </w:r>
            <w:r w:rsidRPr="00EC21BD">
              <w:rPr>
                <w:color w:val="000000"/>
                <w:sz w:val="18"/>
                <w:szCs w:val="18"/>
              </w:rPr>
              <w:br/>
            </w:r>
          </w:p>
        </w:tc>
        <w:tc>
          <w:tcPr>
            <w:tcW w:w="0" w:type="auto"/>
          </w:tcPr>
          <w:p w14:paraId="4738F3C8"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 xml:space="preserve">2010-2020; </w:t>
            </w:r>
            <w:r w:rsidRPr="00EC21BD">
              <w:rPr>
                <w:color w:val="000000"/>
                <w:sz w:val="18"/>
                <w:szCs w:val="18"/>
              </w:rPr>
              <w:br/>
              <w:t>81 individuals (107 episodes)</w:t>
            </w:r>
          </w:p>
        </w:tc>
        <w:tc>
          <w:tcPr>
            <w:tcW w:w="0" w:type="auto"/>
          </w:tcPr>
          <w:p w14:paraId="6EED16A5" w14:textId="77777777" w:rsidR="003B06AA" w:rsidRPr="00EC21BD" w:rsidRDefault="003B06AA" w:rsidP="00DE44B4">
            <w:pPr>
              <w:spacing w:after="0" w:line="240" w:lineRule="auto"/>
              <w:rPr>
                <w:color w:val="000000"/>
                <w:sz w:val="18"/>
                <w:szCs w:val="18"/>
              </w:rPr>
            </w:pPr>
            <w:proofErr w:type="gramStart"/>
            <w:r w:rsidRPr="00EC21BD">
              <w:rPr>
                <w:color w:val="000000"/>
                <w:sz w:val="18"/>
                <w:szCs w:val="18"/>
              </w:rPr>
              <w:t>2010-2020;</w:t>
            </w:r>
            <w:proofErr w:type="gramEnd"/>
          </w:p>
          <w:p w14:paraId="188AB3BA"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 xml:space="preserve">23 POD cases (pure paracetamol </w:t>
            </w:r>
            <w:r w:rsidRPr="00EC21BD">
              <w:rPr>
                <w:rFonts w:eastAsia="Times New Roman" w:cs="Times New Roman"/>
                <w:color w:val="000000"/>
                <w:kern w:val="0"/>
                <w:sz w:val="18"/>
                <w:szCs w:val="18"/>
                <w:lang w:eastAsia="en-GB"/>
                <w14:ligatures w14:val="none"/>
              </w:rPr>
              <w:lastRenderedPageBreak/>
              <w:t>&amp; compounds)</w:t>
            </w:r>
          </w:p>
        </w:tc>
        <w:tc>
          <w:tcPr>
            <w:tcW w:w="0" w:type="auto"/>
          </w:tcPr>
          <w:p w14:paraId="1C1D9CBF"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lastRenderedPageBreak/>
              <w:t>Not extractable</w:t>
            </w:r>
          </w:p>
        </w:tc>
        <w:tc>
          <w:tcPr>
            <w:tcW w:w="0" w:type="auto"/>
          </w:tcPr>
          <w:p w14:paraId="37130B60"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rFonts w:eastAsia="Times New Roman" w:cs="Times New Roman"/>
                <w:color w:val="000000"/>
                <w:kern w:val="0"/>
                <w:sz w:val="18"/>
                <w:szCs w:val="18"/>
                <w:lang w:eastAsia="en-GB"/>
                <w14:ligatures w14:val="none"/>
              </w:rPr>
              <w:t>NR</w:t>
            </w:r>
          </w:p>
        </w:tc>
        <w:tc>
          <w:tcPr>
            <w:tcW w:w="1266" w:type="dxa"/>
          </w:tcPr>
          <w:p w14:paraId="70A8405B"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t>NR</w:t>
            </w:r>
          </w:p>
        </w:tc>
        <w:tc>
          <w:tcPr>
            <w:tcW w:w="1853" w:type="dxa"/>
          </w:tcPr>
          <w:p w14:paraId="01B9E523" w14:textId="77777777" w:rsidR="003B06AA" w:rsidRPr="00EC21BD" w:rsidRDefault="003B06AA" w:rsidP="00DE44B4">
            <w:pPr>
              <w:spacing w:after="0" w:line="240" w:lineRule="auto"/>
              <w:rPr>
                <w:color w:val="000000"/>
                <w:sz w:val="18"/>
                <w:szCs w:val="18"/>
              </w:rPr>
            </w:pPr>
            <w:r w:rsidRPr="00EC21BD">
              <w:rPr>
                <w:b/>
                <w:bCs/>
                <w:color w:val="000000"/>
                <w:sz w:val="18"/>
                <w:szCs w:val="18"/>
              </w:rPr>
              <w:t xml:space="preserve">POD-specific: </w:t>
            </w:r>
            <w:r w:rsidRPr="00EC21BD">
              <w:rPr>
                <w:color w:val="000000"/>
                <w:sz w:val="18"/>
                <w:szCs w:val="18"/>
              </w:rPr>
              <w:t>self-poisoning</w:t>
            </w:r>
          </w:p>
          <w:p w14:paraId="53982FC7" w14:textId="77777777" w:rsidR="003B06AA" w:rsidRPr="00EC21BD" w:rsidRDefault="003B06AA" w:rsidP="00DE44B4">
            <w:pPr>
              <w:spacing w:after="0" w:line="240" w:lineRule="auto"/>
              <w:rPr>
                <w:b/>
                <w:bCs/>
                <w:color w:val="000000"/>
                <w:sz w:val="18"/>
                <w:szCs w:val="18"/>
              </w:rPr>
            </w:pPr>
            <w:r w:rsidRPr="00EC21BD">
              <w:rPr>
                <w:b/>
                <w:bCs/>
                <w:color w:val="000000"/>
                <w:sz w:val="18"/>
                <w:szCs w:val="18"/>
              </w:rPr>
              <w:t xml:space="preserve">General self-harm: </w:t>
            </w:r>
          </w:p>
          <w:p w14:paraId="106DCAC0" w14:textId="77777777" w:rsidR="003B06AA" w:rsidRPr="00EC21BD" w:rsidRDefault="003B06AA" w:rsidP="00DE44B4">
            <w:pPr>
              <w:spacing w:after="0" w:line="240" w:lineRule="auto"/>
              <w:rPr>
                <w:color w:val="000000"/>
                <w:sz w:val="18"/>
                <w:szCs w:val="18"/>
              </w:rPr>
            </w:pPr>
            <w:r w:rsidRPr="00EC21BD">
              <w:rPr>
                <w:color w:val="000000"/>
                <w:sz w:val="18"/>
                <w:szCs w:val="18"/>
              </w:rPr>
              <w:t xml:space="preserve">partners’ relationship </w:t>
            </w:r>
            <w:r w:rsidRPr="00EC21BD">
              <w:rPr>
                <w:color w:val="000000"/>
                <w:sz w:val="18"/>
                <w:szCs w:val="18"/>
              </w:rPr>
              <w:lastRenderedPageBreak/>
              <w:t>difficulties; psychiatric disorders; employment problems; family conflicts; violence from others; violence towards others; financial problems; social isolation; bereavement; housing problems;</w:t>
            </w:r>
            <w:r w:rsidRPr="00EC21BD">
              <w:rPr>
                <w:color w:val="000000"/>
                <w:sz w:val="18"/>
                <w:szCs w:val="18"/>
              </w:rPr>
              <w:br/>
              <w:t>childhood sexual abuse; drugs misuse; eating disorders; chronic pain (more prevalent in females)</w:t>
            </w:r>
          </w:p>
          <w:p w14:paraId="5F07EFFB"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p>
        </w:tc>
        <w:tc>
          <w:tcPr>
            <w:tcW w:w="1599" w:type="dxa"/>
          </w:tcPr>
          <w:p w14:paraId="4E8E4DEB" w14:textId="77777777" w:rsidR="003B06AA" w:rsidRPr="00EC21BD" w:rsidRDefault="003B06AA" w:rsidP="00DE44B4">
            <w:pPr>
              <w:spacing w:after="0" w:line="240" w:lineRule="auto"/>
              <w:rPr>
                <w:rFonts w:eastAsia="Times New Roman" w:cs="Times New Roman"/>
                <w:color w:val="000000"/>
                <w:kern w:val="0"/>
                <w:sz w:val="18"/>
                <w:szCs w:val="18"/>
                <w:lang w:eastAsia="en-GB"/>
                <w14:ligatures w14:val="none"/>
              </w:rPr>
            </w:pPr>
            <w:r w:rsidRPr="00EC21BD">
              <w:rPr>
                <w:color w:val="000000"/>
                <w:sz w:val="18"/>
                <w:szCs w:val="18"/>
              </w:rPr>
              <w:lastRenderedPageBreak/>
              <w:t xml:space="preserve">Alcohol; antidepressants; </w:t>
            </w:r>
            <w:r>
              <w:rPr>
                <w:color w:val="000000"/>
                <w:sz w:val="18"/>
                <w:szCs w:val="18"/>
              </w:rPr>
              <w:t>multiple medications</w:t>
            </w:r>
          </w:p>
        </w:tc>
      </w:tr>
    </w:tbl>
    <w:p w14:paraId="75A64753" w14:textId="677B7C01" w:rsidR="00840372" w:rsidRPr="00423A4E" w:rsidRDefault="00840372" w:rsidP="00840372">
      <w:pPr>
        <w:pStyle w:val="Caption"/>
        <w:spacing w:after="0"/>
        <w:rPr>
          <w:i w:val="0"/>
          <w:iCs w:val="0"/>
        </w:rPr>
      </w:pPr>
      <w:proofErr w:type="spellStart"/>
      <w:r>
        <w:rPr>
          <w:i w:val="0"/>
          <w:iCs w:val="0"/>
          <w:vertAlign w:val="superscript"/>
        </w:rPr>
        <w:t>k</w:t>
      </w:r>
      <w:r w:rsidR="00BA1FB3">
        <w:rPr>
          <w:i w:val="0"/>
          <w:iCs w:val="0"/>
        </w:rPr>
        <w:t>DS</w:t>
      </w:r>
      <w:r w:rsidR="00AE77B5">
        <w:rPr>
          <w:i w:val="0"/>
          <w:iCs w:val="0"/>
        </w:rPr>
        <w:t>H</w:t>
      </w:r>
      <w:proofErr w:type="spellEnd"/>
      <w:r w:rsidRPr="00423A4E">
        <w:rPr>
          <w:i w:val="0"/>
          <w:iCs w:val="0"/>
        </w:rPr>
        <w:t xml:space="preserve">= </w:t>
      </w:r>
      <w:r w:rsidR="00A25125">
        <w:rPr>
          <w:i w:val="0"/>
          <w:iCs w:val="0"/>
        </w:rPr>
        <w:t>Deliberate Self-Harm</w:t>
      </w:r>
      <w:r w:rsidRPr="00423A4E">
        <w:rPr>
          <w:i w:val="0"/>
          <w:iCs w:val="0"/>
        </w:rPr>
        <w:t xml:space="preserve">, </w:t>
      </w:r>
    </w:p>
    <w:p w14:paraId="070B2927" w14:textId="1C8F7442" w:rsidR="00840372" w:rsidRPr="00423A4E" w:rsidRDefault="00B2555E" w:rsidP="00840372">
      <w:pPr>
        <w:pStyle w:val="Caption"/>
        <w:spacing w:after="0"/>
        <w:rPr>
          <w:i w:val="0"/>
          <w:iCs w:val="0"/>
        </w:rPr>
      </w:pPr>
      <w:proofErr w:type="spellStart"/>
      <w:r>
        <w:rPr>
          <w:i w:val="0"/>
          <w:iCs w:val="0"/>
          <w:vertAlign w:val="superscript"/>
        </w:rPr>
        <w:t>l</w:t>
      </w:r>
      <w:r>
        <w:rPr>
          <w:i w:val="0"/>
          <w:iCs w:val="0"/>
        </w:rPr>
        <w:t>Social</w:t>
      </w:r>
      <w:proofErr w:type="spellEnd"/>
      <w:r>
        <w:rPr>
          <w:i w:val="0"/>
          <w:iCs w:val="0"/>
        </w:rPr>
        <w:t xml:space="preserve"> Classes=</w:t>
      </w:r>
      <w:r w:rsidR="004B01AA">
        <w:rPr>
          <w:i w:val="0"/>
          <w:iCs w:val="0"/>
        </w:rPr>
        <w:t xml:space="preserve">At the time the article was written the ‘Standard Occupational Classification’ system was </w:t>
      </w:r>
      <w:r w:rsidR="00BB66F3">
        <w:rPr>
          <w:i w:val="0"/>
          <w:iCs w:val="0"/>
        </w:rPr>
        <w:t>used</w:t>
      </w:r>
      <w:r w:rsidR="008D5F7F">
        <w:rPr>
          <w:i w:val="0"/>
          <w:iCs w:val="0"/>
        </w:rPr>
        <w:t>: Class I&amp;II: Professional/Managerial; Class III</w:t>
      </w:r>
      <w:r w:rsidR="00DB1AF1">
        <w:rPr>
          <w:i w:val="0"/>
          <w:iCs w:val="0"/>
        </w:rPr>
        <w:t xml:space="preserve">: Skilled, manual and non-manual; Class IV and V: Partly </w:t>
      </w:r>
      <w:r w:rsidR="00802085">
        <w:rPr>
          <w:i w:val="0"/>
          <w:iCs w:val="0"/>
        </w:rPr>
        <w:t xml:space="preserve">skilled and unskilled. </w:t>
      </w:r>
      <w:r w:rsidR="00840372" w:rsidRPr="00423A4E">
        <w:rPr>
          <w:i w:val="0"/>
          <w:iCs w:val="0"/>
        </w:rPr>
        <w:t xml:space="preserve"> </w:t>
      </w:r>
    </w:p>
    <w:p w14:paraId="52367A3C" w14:textId="5BB2A0C9" w:rsidR="00840372" w:rsidRPr="008843D8" w:rsidRDefault="00B16DC8" w:rsidP="00840372">
      <w:pPr>
        <w:pStyle w:val="Caption"/>
        <w:spacing w:after="0"/>
        <w:rPr>
          <w:i w:val="0"/>
          <w:iCs w:val="0"/>
        </w:rPr>
      </w:pPr>
      <w:proofErr w:type="spellStart"/>
      <w:r w:rsidRPr="008843D8">
        <w:rPr>
          <w:i w:val="0"/>
          <w:iCs w:val="0"/>
          <w:vertAlign w:val="superscript"/>
        </w:rPr>
        <w:t>m</w:t>
      </w:r>
      <w:r w:rsidRPr="008843D8">
        <w:rPr>
          <w:i w:val="0"/>
          <w:iCs w:val="0"/>
        </w:rPr>
        <w:t>NA</w:t>
      </w:r>
      <w:proofErr w:type="spellEnd"/>
      <w:r w:rsidR="00DA2252" w:rsidRPr="008843D8">
        <w:rPr>
          <w:i w:val="0"/>
          <w:iCs w:val="0"/>
        </w:rPr>
        <w:t>=</w:t>
      </w:r>
      <w:r w:rsidR="008843D8" w:rsidRPr="008843D8">
        <w:rPr>
          <w:i w:val="0"/>
          <w:iCs w:val="0"/>
        </w:rPr>
        <w:t xml:space="preserve">N-acetyl-para-aminophenol, </w:t>
      </w:r>
      <w:proofErr w:type="gramStart"/>
      <w:r w:rsidR="008843D8" w:rsidRPr="008843D8">
        <w:rPr>
          <w:i w:val="0"/>
          <w:iCs w:val="0"/>
        </w:rPr>
        <w:t>other</w:t>
      </w:r>
      <w:proofErr w:type="gramEnd"/>
      <w:r w:rsidR="008843D8" w:rsidRPr="008843D8">
        <w:rPr>
          <w:i w:val="0"/>
          <w:iCs w:val="0"/>
        </w:rPr>
        <w:t xml:space="preserve"> nam</w:t>
      </w:r>
      <w:r w:rsidR="008843D8">
        <w:rPr>
          <w:i w:val="0"/>
          <w:iCs w:val="0"/>
        </w:rPr>
        <w:t>e used for paracetamol</w:t>
      </w:r>
    </w:p>
    <w:p w14:paraId="0EFC2B10" w14:textId="4A73166C" w:rsidR="00840372" w:rsidRDefault="00547294" w:rsidP="00840372">
      <w:pPr>
        <w:pStyle w:val="Caption"/>
        <w:spacing w:after="0"/>
        <w:rPr>
          <w:i w:val="0"/>
          <w:iCs w:val="0"/>
        </w:rPr>
      </w:pPr>
      <w:proofErr w:type="spellStart"/>
      <w:r>
        <w:rPr>
          <w:i w:val="0"/>
          <w:iCs w:val="0"/>
          <w:vertAlign w:val="superscript"/>
        </w:rPr>
        <w:t>n</w:t>
      </w:r>
      <w:r w:rsidR="008843D8">
        <w:rPr>
          <w:i w:val="0"/>
          <w:iCs w:val="0"/>
        </w:rPr>
        <w:t>APAP</w:t>
      </w:r>
      <w:proofErr w:type="spellEnd"/>
      <w:r w:rsidR="008843D8">
        <w:rPr>
          <w:i w:val="0"/>
          <w:iCs w:val="0"/>
        </w:rPr>
        <w:t>=</w:t>
      </w:r>
      <w:r w:rsidR="00840372" w:rsidRPr="00423A4E">
        <w:rPr>
          <w:i w:val="0"/>
          <w:iCs w:val="0"/>
        </w:rPr>
        <w:t xml:space="preserve"> refers exclusively to individuals who experienced paracetamol overdose. Some studies included multiple types of poisoning or attendances; only paracetamol-related cases are extracted here. </w:t>
      </w:r>
    </w:p>
    <w:p w14:paraId="7B0CC16D" w14:textId="20ED9E4B" w:rsidR="00840372" w:rsidRDefault="00F66FB0" w:rsidP="00840372">
      <w:pPr>
        <w:pStyle w:val="Caption"/>
        <w:spacing w:after="0"/>
        <w:rPr>
          <w:i w:val="0"/>
          <w:iCs w:val="0"/>
        </w:rPr>
      </w:pPr>
      <w:proofErr w:type="spellStart"/>
      <w:r>
        <w:rPr>
          <w:i w:val="0"/>
          <w:iCs w:val="0"/>
          <w:vertAlign w:val="superscript"/>
        </w:rPr>
        <w:t>o</w:t>
      </w:r>
      <w:r w:rsidRPr="00F66FB0">
        <w:rPr>
          <w:i w:val="0"/>
          <w:iCs w:val="0"/>
        </w:rPr>
        <w:t>O</w:t>
      </w:r>
      <w:r w:rsidR="009D3E59">
        <w:rPr>
          <w:i w:val="0"/>
          <w:iCs w:val="0"/>
        </w:rPr>
        <w:t>TC</w:t>
      </w:r>
      <w:proofErr w:type="spellEnd"/>
      <w:r w:rsidR="009D3E59">
        <w:rPr>
          <w:i w:val="0"/>
          <w:iCs w:val="0"/>
        </w:rPr>
        <w:t>=</w:t>
      </w:r>
      <w:proofErr w:type="gramStart"/>
      <w:r w:rsidR="009D3E59">
        <w:rPr>
          <w:i w:val="0"/>
          <w:iCs w:val="0"/>
        </w:rPr>
        <w:t>O</w:t>
      </w:r>
      <w:r>
        <w:rPr>
          <w:i w:val="0"/>
          <w:iCs w:val="0"/>
        </w:rPr>
        <w:t>ver-The-Counter</w:t>
      </w:r>
      <w:proofErr w:type="gramEnd"/>
      <w:r w:rsidR="00840372" w:rsidRPr="00423A4E">
        <w:rPr>
          <w:i w:val="0"/>
          <w:iCs w:val="0"/>
        </w:rPr>
        <w:t xml:space="preserve">.  </w:t>
      </w:r>
    </w:p>
    <w:p w14:paraId="233A5D3C" w14:textId="77777777" w:rsidR="003B06AA" w:rsidRPr="00840372" w:rsidRDefault="003B06AA">
      <w:pPr>
        <w:rPr>
          <w:lang w:val="it-IT"/>
        </w:rPr>
      </w:pPr>
    </w:p>
    <w:sectPr w:rsidR="003B06AA" w:rsidRPr="00840372" w:rsidSect="003B06AA">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94452" w14:textId="77777777" w:rsidR="003B06AA" w:rsidRDefault="003B06AA" w:rsidP="003B06AA">
      <w:pPr>
        <w:spacing w:after="0" w:line="240" w:lineRule="auto"/>
      </w:pPr>
      <w:r>
        <w:separator/>
      </w:r>
    </w:p>
  </w:endnote>
  <w:endnote w:type="continuationSeparator" w:id="0">
    <w:p w14:paraId="582176EA" w14:textId="77777777" w:rsidR="003B06AA" w:rsidRDefault="003B06AA" w:rsidP="003B0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B1F3B" w14:textId="77777777" w:rsidR="003B06AA" w:rsidRDefault="003B06AA" w:rsidP="003B06AA">
      <w:pPr>
        <w:spacing w:after="0" w:line="240" w:lineRule="auto"/>
      </w:pPr>
      <w:r>
        <w:separator/>
      </w:r>
    </w:p>
  </w:footnote>
  <w:footnote w:type="continuationSeparator" w:id="0">
    <w:p w14:paraId="0B3E63FE" w14:textId="77777777" w:rsidR="003B06AA" w:rsidRDefault="003B06AA" w:rsidP="003B06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7742"/>
    <w:multiLevelType w:val="hybridMultilevel"/>
    <w:tmpl w:val="F1D07E0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8461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6AA"/>
    <w:rsid w:val="0011765E"/>
    <w:rsid w:val="00177064"/>
    <w:rsid w:val="001E376E"/>
    <w:rsid w:val="002D121E"/>
    <w:rsid w:val="003B06AA"/>
    <w:rsid w:val="00480A6D"/>
    <w:rsid w:val="004B01AA"/>
    <w:rsid w:val="005154FB"/>
    <w:rsid w:val="00547294"/>
    <w:rsid w:val="00802085"/>
    <w:rsid w:val="00840372"/>
    <w:rsid w:val="008843D8"/>
    <w:rsid w:val="00890C90"/>
    <w:rsid w:val="008C49E6"/>
    <w:rsid w:val="008D5F7F"/>
    <w:rsid w:val="00981B6D"/>
    <w:rsid w:val="009D3E59"/>
    <w:rsid w:val="00A25125"/>
    <w:rsid w:val="00AC2630"/>
    <w:rsid w:val="00AE77B5"/>
    <w:rsid w:val="00B16DC8"/>
    <w:rsid w:val="00B2555E"/>
    <w:rsid w:val="00B87DED"/>
    <w:rsid w:val="00BA1FB3"/>
    <w:rsid w:val="00BB66F3"/>
    <w:rsid w:val="00D805F0"/>
    <w:rsid w:val="00DA2252"/>
    <w:rsid w:val="00DB1AF1"/>
    <w:rsid w:val="00DC2031"/>
    <w:rsid w:val="00E6060D"/>
    <w:rsid w:val="00E902EF"/>
    <w:rsid w:val="00EE1AA7"/>
    <w:rsid w:val="00EE4B45"/>
    <w:rsid w:val="00F66F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2B701"/>
  <w15:chartTrackingRefBased/>
  <w15:docId w15:val="{990E2D87-6975-4F46-8871-A8F0D974D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6AA"/>
  </w:style>
  <w:style w:type="paragraph" w:styleId="Heading1">
    <w:name w:val="heading 1"/>
    <w:basedOn w:val="Normal"/>
    <w:next w:val="Normal"/>
    <w:link w:val="Heading1Char"/>
    <w:uiPriority w:val="9"/>
    <w:qFormat/>
    <w:rsid w:val="003B06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B06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B06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06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06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06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06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06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06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6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B06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B06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06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06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06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06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06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06AA"/>
    <w:rPr>
      <w:rFonts w:eastAsiaTheme="majorEastAsia" w:cstheme="majorBidi"/>
      <w:color w:val="272727" w:themeColor="text1" w:themeTint="D8"/>
    </w:rPr>
  </w:style>
  <w:style w:type="paragraph" w:styleId="Title">
    <w:name w:val="Title"/>
    <w:basedOn w:val="Normal"/>
    <w:next w:val="Normal"/>
    <w:link w:val="TitleChar"/>
    <w:uiPriority w:val="10"/>
    <w:qFormat/>
    <w:rsid w:val="003B06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06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06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06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06AA"/>
    <w:pPr>
      <w:spacing w:before="160"/>
      <w:jc w:val="center"/>
    </w:pPr>
    <w:rPr>
      <w:i/>
      <w:iCs/>
      <w:color w:val="404040" w:themeColor="text1" w:themeTint="BF"/>
    </w:rPr>
  </w:style>
  <w:style w:type="character" w:customStyle="1" w:styleId="QuoteChar">
    <w:name w:val="Quote Char"/>
    <w:basedOn w:val="DefaultParagraphFont"/>
    <w:link w:val="Quote"/>
    <w:uiPriority w:val="29"/>
    <w:rsid w:val="003B06AA"/>
    <w:rPr>
      <w:i/>
      <w:iCs/>
      <w:color w:val="404040" w:themeColor="text1" w:themeTint="BF"/>
    </w:rPr>
  </w:style>
  <w:style w:type="paragraph" w:styleId="ListParagraph">
    <w:name w:val="List Paragraph"/>
    <w:basedOn w:val="Normal"/>
    <w:uiPriority w:val="34"/>
    <w:qFormat/>
    <w:rsid w:val="003B06AA"/>
    <w:pPr>
      <w:ind w:left="720"/>
      <w:contextualSpacing/>
    </w:pPr>
  </w:style>
  <w:style w:type="character" w:styleId="IntenseEmphasis">
    <w:name w:val="Intense Emphasis"/>
    <w:basedOn w:val="DefaultParagraphFont"/>
    <w:uiPriority w:val="21"/>
    <w:qFormat/>
    <w:rsid w:val="003B06AA"/>
    <w:rPr>
      <w:i/>
      <w:iCs/>
      <w:color w:val="0F4761" w:themeColor="accent1" w:themeShade="BF"/>
    </w:rPr>
  </w:style>
  <w:style w:type="paragraph" w:styleId="IntenseQuote">
    <w:name w:val="Intense Quote"/>
    <w:basedOn w:val="Normal"/>
    <w:next w:val="Normal"/>
    <w:link w:val="IntenseQuoteChar"/>
    <w:uiPriority w:val="30"/>
    <w:qFormat/>
    <w:rsid w:val="003B06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06AA"/>
    <w:rPr>
      <w:i/>
      <w:iCs/>
      <w:color w:val="0F4761" w:themeColor="accent1" w:themeShade="BF"/>
    </w:rPr>
  </w:style>
  <w:style w:type="character" w:styleId="IntenseReference">
    <w:name w:val="Intense Reference"/>
    <w:basedOn w:val="DefaultParagraphFont"/>
    <w:uiPriority w:val="32"/>
    <w:qFormat/>
    <w:rsid w:val="003B06AA"/>
    <w:rPr>
      <w:b/>
      <w:bCs/>
      <w:smallCaps/>
      <w:color w:val="0F4761" w:themeColor="accent1" w:themeShade="BF"/>
      <w:spacing w:val="5"/>
    </w:rPr>
  </w:style>
  <w:style w:type="paragraph" w:styleId="Header">
    <w:name w:val="header"/>
    <w:basedOn w:val="Normal"/>
    <w:link w:val="HeaderChar"/>
    <w:uiPriority w:val="99"/>
    <w:unhideWhenUsed/>
    <w:rsid w:val="003B06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06AA"/>
  </w:style>
  <w:style w:type="paragraph" w:styleId="Footer">
    <w:name w:val="footer"/>
    <w:basedOn w:val="Normal"/>
    <w:link w:val="FooterChar"/>
    <w:uiPriority w:val="99"/>
    <w:unhideWhenUsed/>
    <w:rsid w:val="003B06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06AA"/>
  </w:style>
  <w:style w:type="character" w:styleId="LineNumber">
    <w:name w:val="line number"/>
    <w:basedOn w:val="DefaultParagraphFont"/>
    <w:uiPriority w:val="99"/>
    <w:semiHidden/>
    <w:unhideWhenUsed/>
    <w:rsid w:val="003B06AA"/>
  </w:style>
  <w:style w:type="character" w:styleId="Hyperlink">
    <w:name w:val="Hyperlink"/>
    <w:basedOn w:val="DefaultParagraphFont"/>
    <w:uiPriority w:val="99"/>
    <w:unhideWhenUsed/>
    <w:rsid w:val="003B06AA"/>
    <w:rPr>
      <w:color w:val="467886" w:themeColor="hyperlink"/>
      <w:u w:val="single"/>
    </w:rPr>
  </w:style>
  <w:style w:type="character" w:styleId="UnresolvedMention">
    <w:name w:val="Unresolved Mention"/>
    <w:basedOn w:val="DefaultParagraphFont"/>
    <w:uiPriority w:val="99"/>
    <w:semiHidden/>
    <w:unhideWhenUsed/>
    <w:rsid w:val="003B06AA"/>
    <w:rPr>
      <w:color w:val="605E5C"/>
      <w:shd w:val="clear" w:color="auto" w:fill="E1DFDD"/>
    </w:rPr>
  </w:style>
  <w:style w:type="paragraph" w:styleId="Bibliography">
    <w:name w:val="Bibliography"/>
    <w:basedOn w:val="Normal"/>
    <w:next w:val="Normal"/>
    <w:uiPriority w:val="37"/>
    <w:unhideWhenUsed/>
    <w:rsid w:val="003B06AA"/>
    <w:pPr>
      <w:tabs>
        <w:tab w:val="left" w:pos="264"/>
      </w:tabs>
      <w:spacing w:after="240" w:line="240" w:lineRule="auto"/>
      <w:ind w:left="264" w:hanging="264"/>
    </w:pPr>
  </w:style>
  <w:style w:type="paragraph" w:styleId="Caption">
    <w:name w:val="caption"/>
    <w:basedOn w:val="Normal"/>
    <w:next w:val="Normal"/>
    <w:uiPriority w:val="35"/>
    <w:unhideWhenUsed/>
    <w:qFormat/>
    <w:rsid w:val="003B06AA"/>
    <w:pPr>
      <w:spacing w:after="200" w:line="240" w:lineRule="auto"/>
    </w:pPr>
    <w:rPr>
      <w:i/>
      <w:iCs/>
      <w:color w:val="0E2841" w:themeColor="text2"/>
      <w:sz w:val="18"/>
      <w:szCs w:val="18"/>
    </w:rPr>
  </w:style>
  <w:style w:type="table" w:styleId="TableGrid">
    <w:name w:val="Table Grid"/>
    <w:basedOn w:val="TableNormal"/>
    <w:uiPriority w:val="39"/>
    <w:rsid w:val="003B0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B06AA"/>
    <w:rPr>
      <w:sz w:val="16"/>
      <w:szCs w:val="16"/>
    </w:rPr>
  </w:style>
  <w:style w:type="paragraph" w:styleId="CommentText">
    <w:name w:val="annotation text"/>
    <w:basedOn w:val="Normal"/>
    <w:link w:val="CommentTextChar"/>
    <w:uiPriority w:val="99"/>
    <w:unhideWhenUsed/>
    <w:rsid w:val="003B06AA"/>
    <w:pPr>
      <w:spacing w:line="240" w:lineRule="auto"/>
    </w:pPr>
    <w:rPr>
      <w:sz w:val="20"/>
      <w:szCs w:val="20"/>
    </w:rPr>
  </w:style>
  <w:style w:type="character" w:customStyle="1" w:styleId="CommentTextChar">
    <w:name w:val="Comment Text Char"/>
    <w:basedOn w:val="DefaultParagraphFont"/>
    <w:link w:val="CommentText"/>
    <w:uiPriority w:val="99"/>
    <w:rsid w:val="003B06AA"/>
    <w:rPr>
      <w:sz w:val="20"/>
      <w:szCs w:val="20"/>
    </w:rPr>
  </w:style>
  <w:style w:type="paragraph" w:styleId="CommentSubject">
    <w:name w:val="annotation subject"/>
    <w:basedOn w:val="CommentText"/>
    <w:next w:val="CommentText"/>
    <w:link w:val="CommentSubjectChar"/>
    <w:uiPriority w:val="99"/>
    <w:semiHidden/>
    <w:unhideWhenUsed/>
    <w:rsid w:val="003B06AA"/>
    <w:rPr>
      <w:b/>
      <w:bCs/>
    </w:rPr>
  </w:style>
  <w:style w:type="character" w:customStyle="1" w:styleId="CommentSubjectChar">
    <w:name w:val="Comment Subject Char"/>
    <w:basedOn w:val="CommentTextChar"/>
    <w:link w:val="CommentSubject"/>
    <w:uiPriority w:val="99"/>
    <w:semiHidden/>
    <w:rsid w:val="003B06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4f14e5a-899d-4990-a452-3796a52b7aa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BBF3F4BE92334DA6DA9DE3F3B124CD" ma:contentTypeVersion="10" ma:contentTypeDescription="Create a new document." ma:contentTypeScope="" ma:versionID="1f2e50f86eb605068686c1adebc90325">
  <xsd:schema xmlns:xsd="http://www.w3.org/2001/XMLSchema" xmlns:xs="http://www.w3.org/2001/XMLSchema" xmlns:p="http://schemas.microsoft.com/office/2006/metadata/properties" xmlns:ns2="e4f14e5a-899d-4990-a452-3796a52b7aac" targetNamespace="http://schemas.microsoft.com/office/2006/metadata/properties" ma:root="true" ma:fieldsID="b4bacf0311fca81160fa35d49a67cab6" ns2:_="">
    <xsd:import namespace="e4f14e5a-899d-4990-a452-3796a52b7a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14e5a-899d-4990-a452-3796a52b7a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643730-4106-43af-9ce9-7aa0c1c95a0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93CA1F-F447-4C4B-A58E-244FE109ED8E}">
  <ds:schemaRefs>
    <ds:schemaRef ds:uri="http://www.w3.org/XML/1998/namespace"/>
    <ds:schemaRef ds:uri="http://schemas.microsoft.com/office/infopath/2007/PartnerControls"/>
    <ds:schemaRef ds:uri="http://schemas.openxmlformats.org/package/2006/metadata/core-properties"/>
    <ds:schemaRef ds:uri="http://purl.org/dc/dcmitype/"/>
    <ds:schemaRef ds:uri="http://schemas.microsoft.com/office/2006/documentManagement/types"/>
    <ds:schemaRef ds:uri="http://purl.org/dc/terms/"/>
    <ds:schemaRef ds:uri="e4f14e5a-899d-4990-a452-3796a52b7aac"/>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DE9A5D66-DBDB-415B-AA20-D09C23C6D3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14e5a-899d-4990-a452-3796a52b7a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5B656C-BBCE-41D9-B2FE-CE4626EEF8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10</Pages>
  <Words>3084</Words>
  <Characters>17579</Characters>
  <Application>Microsoft Office Word</Application>
  <DocSecurity>0</DocSecurity>
  <Lines>146</Lines>
  <Paragraphs>41</Paragraphs>
  <ScaleCrop>false</ScaleCrop>
  <Company/>
  <LinksUpToDate>false</LinksUpToDate>
  <CharactersWithSpaces>20622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Giorgia De Paoli (Staff)</dc:creator>
  <cp:keywords/>
  <dc:description/>
  <cp:lastModifiedBy>Giorgia De Paoli (Staff)</cp:lastModifiedBy>
  <cp:revision>31</cp:revision>
  <dcterms:created xsi:type="dcterms:W3CDTF">2026-06-08T13:18:00Z</dcterms:created>
  <dcterms:modified xsi:type="dcterms:W3CDTF">2026-07-03T15:06:00Z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0x0101000FBBF3F4BE92334DA6DA9DE3F3B124CD</vt:lpwstr>
  </property>
  <property fmtid="{D5CDD505-2E9C-101B-9397-08002B2CF9AE}" pid="3" name="MSIP_Label_a618d1e0-f5d7-4da7-8ddd-3b83021a2c85_Enabled">
    <vt:lpwstr>true</vt:lpwstr>
  </property>
  <property fmtid="{D5CDD505-2E9C-101B-9397-08002B2CF9AE}" pid="4" name="MSIP_Label_a618d1e0-f5d7-4da7-8ddd-3b83021a2c85_SetDate">
    <vt:lpwstr>2026-06-08T13:20:53Z</vt:lpwstr>
  </property>
  <property fmtid="{D5CDD505-2E9C-101B-9397-08002B2CF9AE}" pid="5" name="MSIP_Label_a618d1e0-f5d7-4da7-8ddd-3b83021a2c85_Method">
    <vt:lpwstr>Standard</vt:lpwstr>
  </property>
  <property fmtid="{D5CDD505-2E9C-101B-9397-08002B2CF9AE}" pid="6" name="MSIP_Label_a618d1e0-f5d7-4da7-8ddd-3b83021a2c85_Name">
    <vt:lpwstr>Private</vt:lpwstr>
  </property>
  <property fmtid="{D5CDD505-2E9C-101B-9397-08002B2CF9AE}" pid="7" name="MSIP_Label_a618d1e0-f5d7-4da7-8ddd-3b83021a2c85_SiteId">
    <vt:lpwstr>ae323139-093a-4d2a-81a6-5d334bcd9019</vt:lpwstr>
  </property>
  <property fmtid="{D5CDD505-2E9C-101B-9397-08002B2CF9AE}" pid="8" name="MSIP_Label_a618d1e0-f5d7-4da7-8ddd-3b83021a2c85_ActionId">
    <vt:lpwstr>4742a7dc-838b-4ff3-a259-c4aaa6166360</vt:lpwstr>
  </property>
  <property fmtid="{D5CDD505-2E9C-101B-9397-08002B2CF9AE}" pid="9" name="MSIP_Label_a618d1e0-f5d7-4da7-8ddd-3b83021a2c85_ContentBits">
    <vt:lpwstr>0</vt:lpwstr>
  </property>
  <property fmtid="{D5CDD505-2E9C-101B-9397-08002B2CF9AE}" pid="10" name="MSIP_Label_a618d1e0-f5d7-4da7-8ddd-3b83021a2c85_Tag">
    <vt:lpwstr>10, 3, 0, 1</vt:lpwstr>
  </property>
  <property fmtid="{D5CDD505-2E9C-101B-9397-08002B2CF9AE}" pid="11" name="MediaServiceImageTags">
    <vt:lpwstr/>
  </property>
  <property fmtid="{D5CDD505-2E9C-101B-9397-08002B2CF9AE}" pid="12" name="ZOTERO_PREF_1">
    <vt:lpwstr>&lt;data data-version="3" zotero-version="9.0.5"&gt;&lt;session id="Daah8bh1"/&gt;&lt;style id="http://www.zotero.org/styles/springer-vancouver-brackets" locale="en-GB" hasBibliography="1" bibliographyStyleHasBeenSet="0"/&gt;&lt;prefs&gt;&lt;pref name="fieldType" value="Field"/&gt;&lt;/p</vt:lpwstr>
  </property>
  <property fmtid="{D5CDD505-2E9C-101B-9397-08002B2CF9AE}" pid="13" name="ZOTERO_PREF_2">
    <vt:lpwstr>refs&gt;&lt;/data&gt;</vt:lpwstr>
  </property>
</Properties>
</file>