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7C6" w:rsidRPr="00986768" w:rsidRDefault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Supplementary file 1</w:t>
      </w:r>
    </w:p>
    <w:p w:rsidR="00986768" w:rsidRPr="00986768" w:rsidRDefault="00986768" w:rsidP="0098676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 xml:space="preserve">Description of the Priority-Setting Process at </w:t>
      </w:r>
      <w:proofErr w:type="spellStart"/>
      <w:r w:rsidRPr="00986768">
        <w:rPr>
          <w:rFonts w:asciiTheme="majorBidi" w:hAnsiTheme="majorBidi" w:cstheme="majorBidi"/>
          <w:b/>
          <w:bCs/>
          <w:sz w:val="24"/>
          <w:szCs w:val="24"/>
        </w:rPr>
        <w:t>Shahid</w:t>
      </w:r>
      <w:proofErr w:type="spellEnd"/>
      <w:r w:rsidRPr="009867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86768">
        <w:rPr>
          <w:rFonts w:asciiTheme="majorBidi" w:hAnsiTheme="majorBidi" w:cstheme="majorBidi"/>
          <w:b/>
          <w:bCs/>
          <w:sz w:val="24"/>
          <w:szCs w:val="24"/>
        </w:rPr>
        <w:t>Beheshti</w:t>
      </w:r>
      <w:proofErr w:type="spellEnd"/>
      <w:r w:rsidRPr="00986768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Sciences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 xml:space="preserve">The research priorities of </w:t>
      </w:r>
      <w:proofErr w:type="spellStart"/>
      <w:r w:rsidRPr="00986768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98676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6768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986768">
        <w:rPr>
          <w:rFonts w:asciiTheme="majorBidi" w:hAnsiTheme="majorBidi" w:cstheme="majorBidi"/>
          <w:sz w:val="24"/>
          <w:szCs w:val="24"/>
        </w:rPr>
        <w:t xml:space="preserve"> University of Medical Sciences (SBMU) were developed through a systematic, multi-stage process, following the "Proposed Model of the Medical Sciences Research Commission for the World Health Organization" (COHERED - Council on Health Research for Development). This process was designed to ensure that the priorities reflect the health needs of the community and engage relevant stakeholders.</w:t>
      </w:r>
    </w:p>
    <w:p w:rsidR="00986768" w:rsidRPr="00986768" w:rsidRDefault="00986768" w:rsidP="0098676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Key Steps in the Priority-Setting Process: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1. Planning Phase:</w:t>
      </w:r>
    </w:p>
    <w:p w:rsidR="00986768" w:rsidRPr="00986768" w:rsidRDefault="00986768" w:rsidP="0098676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Formation of a Steering Committee to oversee the revision of research priorities</w:t>
      </w:r>
    </w:p>
    <w:p w:rsidR="00986768" w:rsidRPr="00986768" w:rsidRDefault="00986768" w:rsidP="0098676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 xml:space="preserve">Review of the university's previous priority documents </w:t>
      </w:r>
    </w:p>
    <w:p w:rsidR="00986768" w:rsidRPr="00986768" w:rsidRDefault="00986768" w:rsidP="0098676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Establishment of review teams in all research centers and academic departments</w:t>
      </w:r>
    </w:p>
    <w:p w:rsidR="00986768" w:rsidRPr="00986768" w:rsidRDefault="00986768" w:rsidP="0098676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Remote consultation with external stakeholders influencing health outcomes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2. Situational Analysis:</w:t>
      </w:r>
    </w:p>
    <w:p w:rsidR="00986768" w:rsidRPr="00986768" w:rsidRDefault="00986768" w:rsidP="00986768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Comprehensive review of health status in the university's catchment area through library and field studies</w:t>
      </w:r>
    </w:p>
    <w:p w:rsidR="00986768" w:rsidRPr="00986768" w:rsidRDefault="00986768" w:rsidP="00986768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Analysis of existing health data and burden of disease patterns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3. Stakeholder Analysis:</w:t>
      </w:r>
    </w:p>
    <w:p w:rsidR="00986768" w:rsidRPr="00986768" w:rsidRDefault="00986768" w:rsidP="00986768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Identification of 10 external sectors/departments involved in health</w:t>
      </w:r>
    </w:p>
    <w:p w:rsidR="00986768" w:rsidRPr="00986768" w:rsidRDefault="00986768" w:rsidP="00986768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Analysis of stakeholders based on position, power, level of interest, influence, and importance</w:t>
      </w:r>
    </w:p>
    <w:p w:rsidR="00986768" w:rsidRPr="00986768" w:rsidRDefault="00986768" w:rsidP="00986768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Four external organizations collaborated actively with the university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4. Identification of Priority Domains:</w:t>
      </w:r>
    </w:p>
    <w:p w:rsidR="00986768" w:rsidRPr="00986768" w:rsidRDefault="00986768" w:rsidP="0098676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The Steering Committee proposed 22 potential research domains</w:t>
      </w:r>
    </w:p>
    <w:p w:rsidR="00986768" w:rsidRPr="00986768" w:rsidRDefault="00986768" w:rsidP="0098676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Input was gathered from academic department heads, research centers, and external stakeholders</w:t>
      </w:r>
    </w:p>
    <w:p w:rsidR="00986768" w:rsidRPr="00986768" w:rsidRDefault="00986768" w:rsidP="0098676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Prioritization techniques included brainstorming, nominal group technique, priority matrices, questionnaires, and interviews</w:t>
      </w:r>
    </w:p>
    <w:p w:rsidR="00986768" w:rsidRPr="00986768" w:rsidRDefault="00986768" w:rsidP="0098676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A virtual prioritization workshop was conducted with all stakeholders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5. Validation and Categorization:</w:t>
      </w:r>
    </w:p>
    <w:p w:rsidR="00986768" w:rsidRPr="00986768" w:rsidRDefault="00986768" w:rsidP="00986768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lastRenderedPageBreak/>
        <w:t>The proposed domains were reviewed in expert meetings using specific criteria</w:t>
      </w:r>
    </w:p>
    <w:p w:rsidR="00986768" w:rsidRPr="00986768" w:rsidRDefault="00986768" w:rsidP="00986768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Domains were categorized into three main areas:</w:t>
      </w:r>
    </w:p>
    <w:p w:rsidR="00986768" w:rsidRPr="00986768" w:rsidRDefault="00986768" w:rsidP="00986768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Clinical Research</w:t>
      </w:r>
    </w:p>
    <w:p w:rsidR="00986768" w:rsidRPr="00986768" w:rsidRDefault="00986768" w:rsidP="00986768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Biomedical Research</w:t>
      </w:r>
    </w:p>
    <w:p w:rsidR="00986768" w:rsidRPr="00986768" w:rsidRDefault="00986768" w:rsidP="00986768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Health Promotion Research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6. Final Approval:</w:t>
      </w:r>
    </w:p>
    <w:p w:rsidR="00986768" w:rsidRDefault="00986768" w:rsidP="00D9611A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 xml:space="preserve">The Research Council of the University formally approved the priority domains </w:t>
      </w:r>
    </w:p>
    <w:p w:rsidR="00986768" w:rsidRPr="00986768" w:rsidRDefault="00986768" w:rsidP="00D9611A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For each domain, specific research topics were subsequently identified by experts and process owners</w:t>
      </w:r>
    </w:p>
    <w:p w:rsidR="00986768" w:rsidRPr="00986768" w:rsidRDefault="00986768" w:rsidP="0098676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Priority Domains</w:t>
      </w:r>
      <w:bookmarkStart w:id="0" w:name="_GoBack"/>
      <w:bookmarkEnd w:id="0"/>
      <w:r w:rsidRPr="0098676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The approved priority domains were organized into three main categories: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A. Clinical Research: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Infectious diseases in the catchment area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Non-communicable diseases in the catchment area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Mental health and social determinants of health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Accidents and injuries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Aging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Emerging and re-emerging diseases</w:t>
      </w:r>
    </w:p>
    <w:p w:rsidR="00986768" w:rsidRPr="00986768" w:rsidRDefault="00986768" w:rsidP="0098676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Oral and dental health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B. Biomedical Research</w:t>
      </w:r>
      <w:proofErr w:type="gramStart"/>
      <w:r w:rsidRPr="00986768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986768">
        <w:rPr>
          <w:rFonts w:asciiTheme="majorBidi" w:hAnsiTheme="majorBidi" w:cstheme="majorBidi"/>
          <w:sz w:val="24"/>
          <w:szCs w:val="24"/>
        </w:rPr>
        <w:br/>
        <w:t>8. Pharmaceutical sciences and biotechnology</w:t>
      </w:r>
      <w:r w:rsidRPr="00986768">
        <w:rPr>
          <w:rFonts w:asciiTheme="majorBidi" w:hAnsiTheme="majorBidi" w:cstheme="majorBidi"/>
          <w:sz w:val="24"/>
          <w:szCs w:val="24"/>
        </w:rPr>
        <w:br/>
        <w:t>9. Basic sciences</w:t>
      </w:r>
      <w:r w:rsidRPr="00986768">
        <w:rPr>
          <w:rFonts w:asciiTheme="majorBidi" w:hAnsiTheme="majorBidi" w:cstheme="majorBidi"/>
          <w:sz w:val="24"/>
          <w:szCs w:val="24"/>
        </w:rPr>
        <w:br/>
        <w:t>10. Novel technologies and medical equipment</w:t>
      </w:r>
      <w:r w:rsidRPr="00986768">
        <w:rPr>
          <w:rFonts w:asciiTheme="majorBidi" w:hAnsiTheme="majorBidi" w:cstheme="majorBidi"/>
          <w:sz w:val="24"/>
          <w:szCs w:val="24"/>
        </w:rPr>
        <w:br/>
        <w:t>11. Personalized medicine</w:t>
      </w:r>
      <w:r w:rsidRPr="00986768">
        <w:rPr>
          <w:rFonts w:asciiTheme="majorBidi" w:hAnsiTheme="majorBidi" w:cstheme="majorBidi"/>
          <w:sz w:val="24"/>
          <w:szCs w:val="24"/>
        </w:rPr>
        <w:br/>
        <w:t>12. Traditional medicine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b/>
          <w:bCs/>
          <w:sz w:val="24"/>
          <w:szCs w:val="24"/>
        </w:rPr>
        <w:t>C. Health Promotion and Systems Research</w:t>
      </w:r>
      <w:proofErr w:type="gramStart"/>
      <w:r w:rsidRPr="00986768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986768">
        <w:rPr>
          <w:rFonts w:asciiTheme="majorBidi" w:hAnsiTheme="majorBidi" w:cstheme="majorBidi"/>
          <w:sz w:val="24"/>
          <w:szCs w:val="24"/>
        </w:rPr>
        <w:br/>
        <w:t>13. Nutritional sciences (community-oriented</w:t>
      </w:r>
      <w:proofErr w:type="gramStart"/>
      <w:r w:rsidRPr="00986768">
        <w:rPr>
          <w:rFonts w:asciiTheme="majorBidi" w:hAnsiTheme="majorBidi" w:cstheme="majorBidi"/>
          <w:sz w:val="24"/>
          <w:szCs w:val="24"/>
        </w:rPr>
        <w:t>)</w:t>
      </w:r>
      <w:proofErr w:type="gramEnd"/>
      <w:r w:rsidRPr="00986768">
        <w:rPr>
          <w:rFonts w:asciiTheme="majorBidi" w:hAnsiTheme="majorBidi" w:cstheme="majorBidi"/>
          <w:sz w:val="24"/>
          <w:szCs w:val="24"/>
        </w:rPr>
        <w:br/>
        <w:t>14. Environmental health sciences</w:t>
      </w:r>
      <w:r w:rsidRPr="00986768">
        <w:rPr>
          <w:rFonts w:asciiTheme="majorBidi" w:hAnsiTheme="majorBidi" w:cstheme="majorBidi"/>
          <w:sz w:val="24"/>
          <w:szCs w:val="24"/>
        </w:rPr>
        <w:br/>
        <w:t>15. Health systems research</w:t>
      </w:r>
      <w:r w:rsidRPr="00986768">
        <w:rPr>
          <w:rFonts w:asciiTheme="majorBidi" w:hAnsiTheme="majorBidi" w:cstheme="majorBidi"/>
          <w:sz w:val="24"/>
          <w:szCs w:val="24"/>
        </w:rPr>
        <w:br/>
        <w:t>16. Management of the health system in Tehran province</w:t>
      </w:r>
      <w:r w:rsidRPr="00986768">
        <w:rPr>
          <w:rFonts w:asciiTheme="majorBidi" w:hAnsiTheme="majorBidi" w:cstheme="majorBidi"/>
          <w:sz w:val="24"/>
          <w:szCs w:val="24"/>
        </w:rPr>
        <w:br/>
        <w:t>17. Medical education, research capacity building, and continuing education</w:t>
      </w:r>
      <w:r w:rsidRPr="00986768">
        <w:rPr>
          <w:rFonts w:asciiTheme="majorBidi" w:hAnsiTheme="majorBidi" w:cstheme="majorBidi"/>
          <w:sz w:val="24"/>
          <w:szCs w:val="24"/>
        </w:rPr>
        <w:br/>
        <w:t>18. Virtual education in medical sciences</w:t>
      </w:r>
      <w:r w:rsidRPr="00986768">
        <w:rPr>
          <w:rFonts w:asciiTheme="majorBidi" w:hAnsiTheme="majorBidi" w:cstheme="majorBidi"/>
          <w:sz w:val="24"/>
          <w:szCs w:val="24"/>
        </w:rPr>
        <w:br/>
        <w:t>19. Research in medical education</w:t>
      </w:r>
      <w:r w:rsidRPr="00986768">
        <w:rPr>
          <w:rFonts w:asciiTheme="majorBidi" w:hAnsiTheme="majorBidi" w:cstheme="majorBidi"/>
          <w:sz w:val="24"/>
          <w:szCs w:val="24"/>
        </w:rPr>
        <w:br/>
      </w:r>
      <w:r w:rsidRPr="00986768">
        <w:rPr>
          <w:rFonts w:asciiTheme="majorBidi" w:hAnsiTheme="majorBidi" w:cstheme="majorBidi"/>
          <w:sz w:val="24"/>
          <w:szCs w:val="24"/>
        </w:rPr>
        <w:lastRenderedPageBreak/>
        <w:t>20. Technology management in medical sciences</w:t>
      </w:r>
      <w:r w:rsidRPr="00986768">
        <w:rPr>
          <w:rFonts w:asciiTheme="majorBidi" w:hAnsiTheme="majorBidi" w:cstheme="majorBidi"/>
          <w:sz w:val="24"/>
          <w:szCs w:val="24"/>
        </w:rPr>
        <w:br/>
        <w:t>21. Ethical challenges in medicine</w:t>
      </w:r>
      <w:r w:rsidRPr="00986768">
        <w:rPr>
          <w:rFonts w:asciiTheme="majorBidi" w:hAnsiTheme="majorBidi" w:cstheme="majorBidi"/>
          <w:sz w:val="24"/>
          <w:szCs w:val="24"/>
        </w:rPr>
        <w:br/>
        <w:t xml:space="preserve">22. </w:t>
      </w:r>
      <w:proofErr w:type="spellStart"/>
      <w:r w:rsidRPr="00986768">
        <w:rPr>
          <w:rFonts w:asciiTheme="majorBidi" w:hAnsiTheme="majorBidi" w:cstheme="majorBidi"/>
          <w:sz w:val="24"/>
          <w:szCs w:val="24"/>
        </w:rPr>
        <w:t>Smartization</w:t>
      </w:r>
      <w:proofErr w:type="spellEnd"/>
      <w:r w:rsidRPr="00986768">
        <w:rPr>
          <w:rFonts w:asciiTheme="majorBidi" w:hAnsiTheme="majorBidi" w:cstheme="majorBidi"/>
          <w:sz w:val="24"/>
          <w:szCs w:val="24"/>
        </w:rPr>
        <w:t xml:space="preserve"> (application of artificial intelligence)</w:t>
      </w:r>
    </w:p>
    <w:p w:rsidR="00986768" w:rsidRPr="00986768" w:rsidRDefault="00986768" w:rsidP="00986768">
      <w:pPr>
        <w:rPr>
          <w:rFonts w:asciiTheme="majorBidi" w:hAnsiTheme="majorBidi" w:cstheme="majorBidi"/>
          <w:sz w:val="24"/>
          <w:szCs w:val="24"/>
        </w:rPr>
      </w:pPr>
      <w:r w:rsidRPr="00986768">
        <w:rPr>
          <w:rFonts w:asciiTheme="majorBidi" w:hAnsiTheme="majorBidi" w:cstheme="majorBidi"/>
          <w:sz w:val="24"/>
          <w:szCs w:val="24"/>
        </w:rPr>
        <w:t>For each of these 22 domains, specific research topics were subsequently developed by the respective academic departments and research centers (as detailed in the 77-page university document).</w:t>
      </w:r>
    </w:p>
    <w:p w:rsidR="00986768" w:rsidRPr="00986768" w:rsidRDefault="00986768">
      <w:pPr>
        <w:rPr>
          <w:rFonts w:asciiTheme="majorBidi" w:hAnsiTheme="majorBidi" w:cstheme="majorBidi"/>
          <w:sz w:val="24"/>
          <w:szCs w:val="24"/>
        </w:rPr>
      </w:pPr>
    </w:p>
    <w:sectPr w:rsidR="00986768" w:rsidRPr="00986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0CAB"/>
    <w:multiLevelType w:val="multilevel"/>
    <w:tmpl w:val="64BA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41275"/>
    <w:multiLevelType w:val="multilevel"/>
    <w:tmpl w:val="9DE6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E7D5E"/>
    <w:multiLevelType w:val="multilevel"/>
    <w:tmpl w:val="9300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56C68"/>
    <w:multiLevelType w:val="multilevel"/>
    <w:tmpl w:val="2C84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B69CA"/>
    <w:multiLevelType w:val="multilevel"/>
    <w:tmpl w:val="7F4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03221"/>
    <w:multiLevelType w:val="multilevel"/>
    <w:tmpl w:val="958C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774F3E"/>
    <w:multiLevelType w:val="multilevel"/>
    <w:tmpl w:val="9518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68"/>
    <w:rsid w:val="005A57C6"/>
    <w:rsid w:val="0098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EA2C2-8398-49E0-B3BE-2E68E009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Ghasemi</dc:creator>
  <cp:keywords/>
  <dc:description/>
  <cp:lastModifiedBy>Hadi Ghasemi</cp:lastModifiedBy>
  <cp:revision>1</cp:revision>
  <dcterms:created xsi:type="dcterms:W3CDTF">2026-02-21T09:42:00Z</dcterms:created>
  <dcterms:modified xsi:type="dcterms:W3CDTF">2026-02-21T09:45:00Z</dcterms:modified>
</cp:coreProperties>
</file>