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2.svg" ContentType="image/svg+xml"/>
  <Override PartName="/word/media/image4.svg" ContentType="image/sv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903394">
      <w:pPr>
        <w:keepNext w:val="0"/>
        <w:keepLines w:val="0"/>
        <w:widowControl/>
        <w:suppressLineNumbers w:val="0"/>
        <w:jc w:val="center"/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drawing>
          <wp:inline distT="0" distB="0" distL="114300" distR="114300">
            <wp:extent cx="5231765" cy="5102860"/>
            <wp:effectExtent l="0" t="0" r="6985" b="2540"/>
            <wp:docPr id="9" name="图片 9" descr="NC-AG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NC-AGC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rcRect l="2171"/>
                    <a:stretch>
                      <a:fillRect/>
                    </a:stretch>
                  </pic:blipFill>
                  <pic:spPr>
                    <a:xfrm>
                      <a:off x="0" y="0"/>
                      <a:ext cx="5231765" cy="510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B0AB9">
      <w:pPr>
        <w:keepNext w:val="0"/>
        <w:keepLines w:val="0"/>
        <w:widowControl/>
        <w:suppressLineNumbers w:val="0"/>
        <w:jc w:val="center"/>
        <w:rPr>
          <w:rFonts w:ascii="Times New Roman" w:hAnsi="Times New Roman" w:cs="Times New Roman"/>
          <w:b w:val="0"/>
          <w:bCs w:val="0"/>
          <w:sz w:val="21"/>
          <w:szCs w:val="22"/>
          <w14:ligatures w14:val="standardContextual"/>
        </w:rPr>
      </w:pPr>
      <w:r>
        <w:rPr>
          <w:rFonts w:ascii="Times New Roman" w:hAnsi="Times New Roman" w:cs="Times New Roman"/>
          <w:b/>
          <w:bCs/>
          <w:sz w:val="21"/>
          <w:szCs w:val="22"/>
          <w14:ligatures w14:val="standardContextual"/>
        </w:rPr>
        <w:t>S</w:t>
      </w:r>
      <w:r>
        <w:rPr>
          <w:rFonts w:ascii="Times New Roman" w:hAnsi="Times New Roman" w:cs="Times New Roman"/>
          <w:b/>
          <w:bCs/>
          <w:sz w:val="21"/>
          <w:szCs w:val="22"/>
          <w14:ligatures w14:val="standardContextual"/>
        </w:rPr>
        <w:t>upplementary Figure S1.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1"/>
          <w:szCs w:val="22"/>
          <w14:ligatures w14:val="standardContextual"/>
        </w:rPr>
        <w:t>Pairwise LEfSe analysis comparing the NC and AGC groups.</w:t>
      </w:r>
    </w:p>
    <w:p w14:paraId="2DADBCB4">
      <w:pPr>
        <w:keepNext w:val="0"/>
        <w:keepLines w:val="0"/>
        <w:widowControl/>
        <w:suppressLineNumbers w:val="0"/>
        <w:jc w:val="center"/>
        <w:rPr>
          <w:rFonts w:hint="eastAsia" w:ascii="Times New Roman" w:hAnsi="Times New Roman" w:cs="Times New Roman"/>
          <w:b w:val="0"/>
          <w:bCs w:val="0"/>
          <w:sz w:val="21"/>
          <w:szCs w:val="22"/>
          <w14:ligatures w14:val="standardContextual"/>
        </w:rPr>
      </w:pPr>
      <w:r>
        <w:rPr>
          <w:rFonts w:hint="eastAsia" w:ascii="Times New Roman" w:hAnsi="Times New Roman" w:cs="Times New Roman"/>
          <w:b w:val="0"/>
          <w:bCs w:val="0"/>
          <w:sz w:val="21"/>
          <w:szCs w:val="22"/>
          <w14:ligatures w14:val="standardContextual"/>
        </w:rPr>
        <w:t>(a) Histogram of the LDA scores for differentially abundant taxa</w:t>
      </w:r>
      <w:r>
        <w:rPr>
          <w:rFonts w:hint="eastAsia" w:ascii="Times New Roman" w:hAnsi="Times New Roman" w:cs="Times New Roman"/>
          <w:b w:val="0"/>
          <w:bCs w:val="0"/>
          <w:sz w:val="21"/>
          <w:szCs w:val="22"/>
          <w:lang w:val="en-US" w:eastAsia="zh-CN"/>
          <w14:ligatures w14:val="standardContextual"/>
        </w:rPr>
        <w:t xml:space="preserve">; </w:t>
      </w:r>
      <w:r>
        <w:rPr>
          <w:rFonts w:hint="eastAsia" w:ascii="Times New Roman" w:hAnsi="Times New Roman" w:cs="Times New Roman"/>
          <w:b w:val="0"/>
          <w:bCs w:val="0"/>
          <w:sz w:val="21"/>
          <w:szCs w:val="22"/>
          <w14:ligatures w14:val="standardContextual"/>
        </w:rPr>
        <w:t>(b) Cladogram demonstrating the taxonomic hierarchical structure of the oral microbiota.</w:t>
      </w:r>
    </w:p>
    <w:p w14:paraId="2BD0220E">
      <w:pPr>
        <w:keepNext w:val="0"/>
        <w:keepLines w:val="0"/>
        <w:widowControl/>
        <w:suppressLineNumbers w:val="0"/>
        <w:jc w:val="center"/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drawing>
          <wp:inline distT="0" distB="0" distL="114300" distR="114300">
            <wp:extent cx="5102225" cy="2198370"/>
            <wp:effectExtent l="0" t="0" r="3175" b="1905"/>
            <wp:docPr id="7" name="图片 7" descr="NC-PLG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NC-PLGC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2225" cy="219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131C9">
      <w:pPr>
        <w:keepNext w:val="0"/>
        <w:keepLines w:val="0"/>
        <w:widowControl/>
        <w:suppressLineNumbers w:val="0"/>
        <w:jc w:val="center"/>
        <w:rPr>
          <w:rFonts w:ascii="Times New Roman" w:hAnsi="Times New Roman" w:cs="Times New Roman"/>
          <w:b w:val="0"/>
          <w:bCs w:val="0"/>
          <w:sz w:val="21"/>
          <w:szCs w:val="22"/>
          <w14:ligatures w14:val="standardContextual"/>
        </w:rPr>
      </w:pPr>
      <w:r>
        <w:rPr>
          <w:rFonts w:ascii="Times New Roman" w:hAnsi="Times New Roman" w:cs="Times New Roman"/>
          <w:b/>
          <w:bCs/>
          <w:sz w:val="21"/>
          <w:szCs w:val="22"/>
          <w14:ligatures w14:val="standardContextual"/>
        </w:rPr>
        <w:t>Supplementary Figure S</w:t>
      </w:r>
      <w:r>
        <w:rPr>
          <w:rFonts w:hint="eastAsia" w:ascii="Times New Roman" w:hAnsi="Times New Roman" w:cs="Times New Roman"/>
          <w:b/>
          <w:bCs/>
          <w:sz w:val="21"/>
          <w:szCs w:val="22"/>
          <w:lang w:val="en-US" w:eastAsia="zh-CN"/>
          <w14:ligatures w14:val="standardContextual"/>
        </w:rPr>
        <w:t>2</w:t>
      </w:r>
      <w:r>
        <w:rPr>
          <w:rFonts w:ascii="Times New Roman" w:hAnsi="Times New Roman" w:cs="Times New Roman"/>
          <w:b/>
          <w:bCs/>
          <w:sz w:val="21"/>
          <w:szCs w:val="22"/>
          <w14:ligatures w14:val="standardContextual"/>
        </w:rPr>
        <w:t>.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1"/>
          <w:szCs w:val="22"/>
          <w14:ligatures w14:val="standardContextual"/>
        </w:rPr>
        <w:t xml:space="preserve">Pairwise LEfSe analysis comparing the NC and </w:t>
      </w:r>
      <w:r>
        <w:rPr>
          <w:rFonts w:hint="eastAsia" w:ascii="Times New Roman" w:hAnsi="Times New Roman" w:cs="Times New Roman"/>
          <w:b w:val="0"/>
          <w:bCs w:val="0"/>
          <w:sz w:val="21"/>
          <w:szCs w:val="22"/>
          <w:lang w:val="en-US" w:eastAsia="zh-CN"/>
          <w14:ligatures w14:val="standardContextual"/>
        </w:rPr>
        <w:t>PL</w:t>
      </w:r>
      <w:r>
        <w:rPr>
          <w:rFonts w:ascii="Times New Roman" w:hAnsi="Times New Roman" w:cs="Times New Roman"/>
          <w:b w:val="0"/>
          <w:bCs w:val="0"/>
          <w:sz w:val="21"/>
          <w:szCs w:val="22"/>
          <w14:ligatures w14:val="standardContextual"/>
        </w:rPr>
        <w:t>GC groups.</w:t>
      </w:r>
    </w:p>
    <w:p w14:paraId="435D9C4E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  <w:sz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1"/>
          <w:szCs w:val="22"/>
          <w14:ligatures w14:val="standardContextual"/>
        </w:rPr>
        <w:t>(a) Histogram of the LDA scores for differentially abundant taxa</w:t>
      </w:r>
      <w:r>
        <w:rPr>
          <w:rFonts w:hint="eastAsia" w:ascii="Times New Roman" w:hAnsi="Times New Roman" w:cs="Times New Roman"/>
          <w:b w:val="0"/>
          <w:bCs w:val="0"/>
          <w:sz w:val="21"/>
          <w:szCs w:val="22"/>
          <w:lang w:val="en-US" w:eastAsia="zh-CN"/>
          <w14:ligatures w14:val="standardContextual"/>
        </w:rPr>
        <w:t xml:space="preserve">; </w:t>
      </w:r>
      <w:r>
        <w:rPr>
          <w:rFonts w:hint="eastAsia" w:ascii="Times New Roman" w:hAnsi="Times New Roman" w:cs="Times New Roman"/>
          <w:b w:val="0"/>
          <w:bCs w:val="0"/>
          <w:sz w:val="21"/>
          <w:szCs w:val="22"/>
          <w14:ligatures w14:val="standardContextual"/>
        </w:rPr>
        <w:t>(b) Cladogram demonstrating the taxonomic hierarchical structure of the oral microbiota.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 Bold">
    <w:altName w:val="Times New Roman"/>
    <w:panose1 w:val="02020603050405020304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F04226"/>
    <w:rsid w:val="3215118E"/>
    <w:rsid w:val="6B024152"/>
    <w:rsid w:val="704F4789"/>
    <w:rsid w:val="7F2A1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160" w:afterAutospacing="0" w:line="276" w:lineRule="auto"/>
      <w:ind w:left="0" w:right="0"/>
    </w:pPr>
    <w:rPr>
      <w:rFonts w:hint="eastAsia" w:ascii="等线" w:hAnsi="等线" w:eastAsia="等线" w:cs="等线"/>
      <w:kern w:val="2"/>
      <w:sz w:val="22"/>
      <w:szCs w:val="24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svg"/><Relationship Id="rId6" Type="http://schemas.openxmlformats.org/officeDocument/2006/relationships/image" Target="media/image3.png"/><Relationship Id="rId5" Type="http://schemas.openxmlformats.org/officeDocument/2006/relationships/image" Target="media/image2.sv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</Words>
  <Characters>125</Characters>
  <Lines>0</Lines>
  <Paragraphs>0</Paragraphs>
  <TotalTime>6</TotalTime>
  <ScaleCrop>false</ScaleCrop>
  <LinksUpToDate>false</LinksUpToDate>
  <CharactersWithSpaces>145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2025-06-12T02:19:00Z</dcterms:created>
  <dc:creator>xyp</dc:creator>
  <cp:lastModifiedBy>KIRITO</cp:lastModifiedBy>
  <dcterms:modified xsi:type="dcterms:W3CDTF">2026-06-02T10:16:29Z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eyJoZGlkIjoiNjU0NDVkZjYyZGE0N2Y3NGUxYTgzZmQ0MDk2ODc5NjgiLCJ1c2VySWQiOiIxMDgwNzc0MDc4In0=</vt:lpwstr>
  </property>
  <property fmtid="{D5CDD505-2E9C-101B-9397-08002B2CF9AE}" pid="4" name="ICV">
    <vt:lpwstr>77E524742D2C456DBD2806B94C1D151B_12</vt:lpwstr>
  </property>
</Properties>
</file>