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4"/>
        <w:jc w:val="left"/>
      </w:pPr>
      <w:r>
        <w:rPr>
          <w:rFonts w:ascii="Times New Roman" w:hAnsi="Times New Roman" w:eastAsia="Times New Roman"/>
          <w:b/>
          <w:sz w:val="24"/>
        </w:rPr>
        <w:t>Supplementary Table S1. Longitudinal semi-structured individual interview guide from T0 to T3</w:t>
      </w:r>
    </w:p>
    <w:p>
      <w:pPr>
        <w:pStyle w:val="165"/>
      </w:pPr>
      <w:r>
        <w:rPr>
          <w:rFonts w:ascii="Times New Roman" w:hAnsi="Times New Roman" w:eastAsia="Times New Roman"/>
        </w:rPr>
        <w:t>T0 = first day of hospitalization; T1 = one day before discharge; T2 = 3 months after discharge; T3 = 6 months after discharge.</w:t>
      </w:r>
    </w:p>
    <w:tbl>
      <w:tblPr>
        <w:tblStyle w:val="33"/>
        <w:tblW w:w="15407" w:type="dxa"/>
        <w:jc w:val="cente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
      <w:tblGrid>
        <w:gridCol w:w="2088"/>
        <w:gridCol w:w="2088"/>
        <w:gridCol w:w="5616"/>
        <w:gridCol w:w="5616"/>
      </w:tblGrid>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blHeader/>
          <w:jc w:val="center"/>
        </w:trPr>
        <w:tc>
          <w:tcPr>
            <w:tcW w:w="2088" w:type="dxa"/>
            <w:shd w:val="clear" w:color="auto" w:fill="D9EAF7"/>
            <w:vAlign w:val="top"/>
          </w:tcPr>
          <w:p>
            <w:pPr>
              <w:spacing w:before="0" w:after="0" w:line="240" w:lineRule="auto"/>
              <w:jc w:val="center"/>
            </w:pPr>
            <w:r>
              <w:rPr>
                <w:rFonts w:ascii="Times New Roman" w:hAnsi="Times New Roman" w:eastAsia="Times New Roman"/>
                <w:b/>
                <w:sz w:val="15"/>
              </w:rPr>
              <w:t>Interview time point</w:t>
            </w:r>
          </w:p>
        </w:tc>
        <w:tc>
          <w:tcPr>
            <w:tcW w:w="2088" w:type="dxa"/>
            <w:shd w:val="clear" w:color="auto" w:fill="D9EAF7"/>
            <w:vAlign w:val="top"/>
          </w:tcPr>
          <w:p>
            <w:pPr>
              <w:spacing w:before="0" w:after="0" w:line="240" w:lineRule="auto"/>
              <w:jc w:val="center"/>
            </w:pPr>
            <w:r>
              <w:rPr>
                <w:rFonts w:ascii="Times New Roman" w:hAnsi="Times New Roman" w:eastAsia="Times New Roman"/>
                <w:b/>
                <w:sz w:val="15"/>
              </w:rPr>
              <w:t>Interview topic</w:t>
            </w:r>
          </w:p>
        </w:tc>
        <w:tc>
          <w:tcPr>
            <w:tcW w:w="5616" w:type="dxa"/>
            <w:shd w:val="clear" w:color="auto" w:fill="D9EAF7"/>
            <w:vAlign w:val="top"/>
          </w:tcPr>
          <w:p>
            <w:pPr>
              <w:spacing w:before="0" w:after="0" w:line="240" w:lineRule="auto"/>
              <w:jc w:val="center"/>
            </w:pPr>
            <w:r>
              <w:rPr>
                <w:rFonts w:ascii="Times New Roman" w:hAnsi="Times New Roman" w:eastAsia="Times New Roman"/>
                <w:b/>
                <w:sz w:val="15"/>
              </w:rPr>
              <w:t>Core question</w:t>
            </w:r>
          </w:p>
        </w:tc>
        <w:tc>
          <w:tcPr>
            <w:tcW w:w="5616" w:type="dxa"/>
            <w:shd w:val="clear" w:color="auto" w:fill="D9EAF7"/>
            <w:vAlign w:val="top"/>
          </w:tcPr>
          <w:p>
            <w:pPr>
              <w:spacing w:before="0" w:after="0" w:line="240" w:lineRule="auto"/>
              <w:jc w:val="center"/>
            </w:pPr>
            <w:r>
              <w:rPr>
                <w:rFonts w:ascii="Times New Roman" w:hAnsi="Times New Roman" w:eastAsia="Times New Roman"/>
                <w:b/>
                <w:sz w:val="15"/>
              </w:rPr>
              <w:t>Possible probes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820"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Introduction and opening</w:t>
            </w: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Rapport building and confirmation of informed consent</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Thank you for participating in this study. Before the interview begins, the researcher will again explain the study purpose, interview content, audio-recording procedure, confidentiality of data, and your right to withdraw. The interview will be audio-recorded only after you have provided permission.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Do you have any questions at this point? Do you agree to begin the audio recording?</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60"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Opening question</w:t>
            </w: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Basic information and illness background</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Could you briefly tell me about yourself, such as your age, duration of diabetes, when your foot symptoms first appeared, and the main reason for this hospitalization?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When did the foot problem first occur? How did you understand or interpret the symptom at that time?</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98"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rPr>
                <w:rFonts w:hint="eastAsia" w:eastAsia="宋体"/>
                <w:lang w:eastAsia="zh-CN"/>
              </w:rPr>
            </w:pPr>
            <w:r>
              <w:rPr>
                <w:rFonts w:ascii="Times New Roman" w:hAnsi="Times New Roman" w:eastAsia="Times New Roman"/>
                <w:b w:val="0"/>
                <w:sz w:val="15"/>
              </w:rPr>
              <w:t xml:space="preserve">T0: </w:t>
            </w:r>
            <w:r>
              <w:rPr>
                <w:rFonts w:hint="eastAsia" w:eastAsia="宋体"/>
                <w:b w:val="0"/>
                <w:sz w:val="15"/>
                <w:lang w:eastAsia="zh-CN"/>
              </w:rPr>
              <w:t>Symptom recognition and diagnostic screening phase</w:t>
            </w: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Symptom recognition and early response</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What did you do when you first noticed an abnormality in your foot?</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Why did you choose to respond in that way? Did you use any medication yourself, change dressings, soak your feet, or wait and observe for a period of time?</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55"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Healthcare-seeking pathway and referral experience</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From the onset of symptoms to this hospitalization, what healthcare-seeking or referral experiences did you go through?</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Where did you first seek care? Why did you choose that place? Did you change hospitals or seek other medical opinions during this process?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77"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Perceived disease risk</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Before admission, how much did you know about the severity of diabetic foot and the risk of amputation?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At that time, did you think that toe or limb amputation might be needed? What information made you begin to realize that your condition was serious?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64"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Emotional changes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How did your emotions change from the time you noticed the symptoms to hospitalization?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Did you experience fear, regret, guilt, anxiety, or uncertainty? What were these feelings mainly related to?</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89"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Initial information needs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At the beginning of hospitalization, what information did you most want healthcare professionals to explain to you?</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Did you want to know more about the cause of the disease, examination results, treatment options, risk of amputation, costs, or prognosis?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Barriers to seeking care and support needs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What was the greatest difficulty you encountered during early symptom management and healthcare seeking?</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Was it transportation, the registration process, costs, family accompaniment, the diagnostic and treatment capacity of primary care facilities, or not knowing which department to visit? Who helped you at this stage?</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31"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rPr>
                <w:rFonts w:hint="eastAsia" w:eastAsia="宋体"/>
                <w:lang w:eastAsia="zh-CN"/>
              </w:rPr>
            </w:pPr>
            <w:r>
              <w:rPr>
                <w:rFonts w:ascii="Times New Roman" w:hAnsi="Times New Roman" w:eastAsia="Times New Roman"/>
                <w:b w:val="0"/>
                <w:sz w:val="15"/>
              </w:rPr>
              <w:t xml:space="preserve">T1: </w:t>
            </w:r>
            <w:r>
              <w:rPr>
                <w:rFonts w:hint="eastAsia" w:eastAsia="宋体"/>
                <w:b w:val="0"/>
                <w:sz w:val="15"/>
                <w:lang w:eastAsia="zh-CN"/>
              </w:rPr>
              <w:t>Amputation treatment decision-making phase</w:t>
            </w: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Amputation-related decision-making process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Looking back on this treatment, how did you understand and make the decision about whether to undergo toe or limb amputation?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Who was mainly involved in this decision? What roles did the physician, family members, and you yourself play?</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74"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Information acquisition and understanding</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What sources of information did you use to make the treatment decision?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Among physicians’ explanations, family opinions, online searches, books, peer experiences, and opinions from other hospitals, which influenced you the most?</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60"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Weighing treatment options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When choosing the amputation level, surgical approach, or whether to continue limb-salvage treatment, what factors did you mainly consider?</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Were you most concerned about survival, limb preservation, future walking ability, costs, risk of another operation, or family burden?</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31"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Experience of patient–clinician communication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Was the amputation-related information provided by physicians clear, sufficient, and easy to understand?</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Which parts did you understand? Which parts remained unclear? Did you have opportunities to ask further questions?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Decision-making difficulties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What was the greatest obstacle you faced when making the amputation-related decision?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Was it fear of losing a limb, concern about prognosis, financial pressure, disagreement among family members, overly technical information, or insufficient communication time?</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97"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Postoperative recovery experience</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After surgery, what were your experiences regarding pain, wound care, mobility, and psychological state?</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What was more difficult than you had expected? What kinds of support were helpful?</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Discharge preparation needs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Before discharge, what specific guidance did you most want to receive?</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Among wound care, blood glucose management, diet, pain management, follow-up arrangements, rehabilitation training, prosthesis preparation, and psychological support, which were most important to you?</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61"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rPr>
                <w:rFonts w:hint="eastAsia" w:eastAsia="宋体"/>
                <w:lang w:eastAsia="zh-CN"/>
              </w:rPr>
            </w:pPr>
            <w:r>
              <w:rPr>
                <w:rFonts w:ascii="Times New Roman" w:hAnsi="Times New Roman" w:eastAsia="Times New Roman"/>
                <w:b w:val="0"/>
                <w:sz w:val="15"/>
              </w:rPr>
              <w:t xml:space="preserve">T2: </w:t>
            </w:r>
            <w:r>
              <w:rPr>
                <w:rFonts w:hint="eastAsia" w:eastAsia="宋体"/>
                <w:b w:val="0"/>
                <w:sz w:val="15"/>
                <w:lang w:eastAsia="zh-CN"/>
              </w:rPr>
              <w:t>Home rehabilitation and long-term self-management phase</w:t>
            </w: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Home-care practices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After discharge, what did you mainly do regarding wound care, blood glucose management, dietary adjustment, and rehabilitation training?</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Which tasks could you complete by yourself? Which required help from family members or healthcare professionals?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88"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Follow-up care and professional support</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Was it convenient for you to return for follow-up visits, dressing changes, rehabilitation adjustments, or consultation with healthcare professionals after discharge?</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Did you experience complicated procedures, poor communication channels, transportation difficulties, financial pressure, or uncertainty about whom to ask?</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51"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Emotional and physical adaptation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After returning home, how did your emotions change when facing limb loss or functional changes?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Did you experience loss, shame, anxiety, fear of recurrence, dependence on family members, or rebuilding of confidence?</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91"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Changing decision-making needs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Compared with the hospitalization period, what choices or decisions do you now need to make most?</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For example, whether to continue treatment, how to attend follow-up visits, how to rehabilitate, whether to use a prosthesis, and how to arrange family life and work.</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33"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Unmet needs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Within 3 months after discharge, what support did you feel was most lacking?</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Was it wound-care demonstration, dietary guidance, rehabilitation training, psychological counseling, remote consultation, financial support, or peer experience?</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50"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rPr>
                <w:rFonts w:hint="eastAsia" w:eastAsia="宋体"/>
                <w:lang w:eastAsia="zh-CN"/>
              </w:rPr>
            </w:pPr>
            <w:r>
              <w:rPr>
                <w:rFonts w:ascii="Times New Roman" w:hAnsi="Times New Roman" w:eastAsia="Times New Roman"/>
                <w:b w:val="0"/>
                <w:sz w:val="15"/>
              </w:rPr>
              <w:t xml:space="preserve">T3: </w:t>
            </w:r>
            <w:r>
              <w:rPr>
                <w:rFonts w:hint="eastAsia" w:eastAsia="宋体"/>
                <w:b w:val="0"/>
                <w:sz w:val="15"/>
                <w:lang w:eastAsia="zh-CN"/>
              </w:rPr>
              <w:t>Home rehabilitation and long-term self-management phase</w:t>
            </w: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Long-term recovery changes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Compared with the previous interview, what changes have occurred in your physical recovery, wound healing, mobility, and daily life?</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Which aspects have improved? Which problems still remain? Have any new difficulties emerged?</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83"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Long-term self-management</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At present, what do you need to continue doing in long-term care and rehabilitation?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Do you have difficulties with blood glucose monitoring, wound observation, follow-up visits, rehabilitation training, prosthesis maintenance, or prevention of recurrent ulcers?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03"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Life roles and social adaptation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After amputation, how have your family role, work ability, social activities, or self-evaluation changed?</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Do you feel dependent on family members, financially stressed, socially avoidant, or troubled by body-image concerns?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93"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Reflection on the decision</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Looking back now, how do you evaluate the amputation-related decision you made at that time?</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Do you feel that the decision was informed, passive, unavoidable, or acceptable at present? Do you have any regrets or feel relieved?</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Ongoing support needs</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What long-term support would you most like to receive from healthcare professionals, family members, or society in the future?</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What information would you like to receive? Is there any information you would not want to know too much about? What support is most important for helping you rebuild your life?</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68"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Closing question</w:t>
            </w: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Supplementary information and member checking</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Among the topics we discussed today, what do you think is most important? Are there any important experiences or needs that I did not ask about?</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Is my understanding of your experience accurate? Is there anything you would like to add or correct?</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624" w:hRule="atLeast"/>
          <w:jc w:val="center"/>
        </w:trPr>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Closure</w:t>
            </w:r>
          </w:p>
        </w:tc>
        <w:tc>
          <w:tcPr>
            <w:tcW w:w="208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Thanks and follow-up contact</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Thank you for sharing your experience. The research team may contact you again briefly to confirm our understanding of the interview content and ensure that your experience is accurately represented.</w:t>
            </w:r>
          </w:p>
        </w:tc>
        <w:tc>
          <w:tcPr>
            <w:tcW w:w="5616"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5"/>
              </w:rPr>
              <w:t>Would you be willing to participate in a brief confirmation if needed later?</w:t>
            </w:r>
          </w:p>
        </w:tc>
      </w:tr>
    </w:tbl>
    <w:p>
      <w:r>
        <w:rPr>
          <w:rFonts w:ascii="Times New Roman" w:hAnsi="Times New Roman" w:eastAsia="Times New Roman"/>
        </w:rPr>
        <w:br w:type="page"/>
      </w:r>
    </w:p>
    <w:p>
      <w:pPr>
        <w:pStyle w:val="164"/>
        <w:jc w:val="left"/>
      </w:pPr>
      <w:r>
        <w:rPr>
          <w:rFonts w:ascii="Times New Roman" w:hAnsi="Times New Roman" w:eastAsia="Times New Roman"/>
          <w:b/>
          <w:sz w:val="24"/>
        </w:rPr>
        <w:t>Supplementary Table S2. Additional illustrative quotations across the decision-making journey</w:t>
      </w:r>
    </w:p>
    <w:p>
      <w:pPr>
        <w:pStyle w:val="165"/>
      </w:pPr>
      <w:r>
        <w:rPr>
          <w:rFonts w:ascii="Times New Roman" w:hAnsi="Times New Roman" w:eastAsia="Times New Roman"/>
        </w:rPr>
        <w:t>Note: One representative quotation for each subtheme is retained in the main text. This table presents additional quotations that are not repeated in the main text. T0 = first day of hospitalization; T1 = one day before discharge; T2 = 3 months after discharge; T3 = 6 months after discharge. The analytical dimensions and subtheme names are consistent with the main text and the patient journey map.</w:t>
      </w:r>
    </w:p>
    <w:tbl>
      <w:tblPr>
        <w:tblStyle w:val="33"/>
        <w:tblW w:w="15408" w:type="dxa"/>
        <w:jc w:val="cente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
      <w:tblGrid>
        <w:gridCol w:w="2232"/>
        <w:gridCol w:w="936"/>
        <w:gridCol w:w="1944"/>
        <w:gridCol w:w="3168"/>
        <w:gridCol w:w="7128"/>
      </w:tblGrid>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blHeader/>
          <w:jc w:val="center"/>
        </w:trPr>
        <w:tc>
          <w:tcPr>
            <w:tcW w:w="2232" w:type="dxa"/>
            <w:shd w:val="clear" w:color="auto" w:fill="D9EAF7"/>
            <w:vAlign w:val="top"/>
          </w:tcPr>
          <w:p>
            <w:pPr>
              <w:spacing w:before="0" w:after="0" w:line="240" w:lineRule="auto"/>
              <w:jc w:val="center"/>
            </w:pPr>
            <w:r>
              <w:rPr>
                <w:rFonts w:ascii="Times New Roman" w:hAnsi="Times New Roman" w:eastAsia="Times New Roman"/>
                <w:b/>
                <w:sz w:val="14"/>
              </w:rPr>
              <w:t>Care stage</w:t>
            </w:r>
          </w:p>
        </w:tc>
        <w:tc>
          <w:tcPr>
            <w:tcW w:w="936" w:type="dxa"/>
            <w:shd w:val="clear" w:color="auto" w:fill="D9EAF7"/>
            <w:vAlign w:val="top"/>
          </w:tcPr>
          <w:p>
            <w:pPr>
              <w:spacing w:before="0" w:after="0" w:line="240" w:lineRule="auto"/>
              <w:jc w:val="center"/>
            </w:pPr>
            <w:r>
              <w:rPr>
                <w:rFonts w:ascii="Times New Roman" w:hAnsi="Times New Roman" w:eastAsia="Times New Roman"/>
                <w:b/>
                <w:sz w:val="14"/>
              </w:rPr>
              <w:t>Interview time point</w:t>
            </w:r>
          </w:p>
        </w:tc>
        <w:tc>
          <w:tcPr>
            <w:tcW w:w="1944" w:type="dxa"/>
            <w:shd w:val="clear" w:color="auto" w:fill="D9EAF7"/>
            <w:vAlign w:val="top"/>
          </w:tcPr>
          <w:p>
            <w:pPr>
              <w:spacing w:before="0" w:after="0" w:line="240" w:lineRule="auto"/>
              <w:jc w:val="center"/>
            </w:pPr>
            <w:r>
              <w:rPr>
                <w:rFonts w:ascii="Times New Roman" w:hAnsi="Times New Roman" w:eastAsia="Times New Roman"/>
                <w:b/>
                <w:sz w:val="14"/>
              </w:rPr>
              <w:t>Analytical dimension</w:t>
            </w:r>
          </w:p>
        </w:tc>
        <w:tc>
          <w:tcPr>
            <w:tcW w:w="3168" w:type="dxa"/>
            <w:shd w:val="clear" w:color="auto" w:fill="D9EAF7"/>
            <w:vAlign w:val="top"/>
          </w:tcPr>
          <w:p>
            <w:pPr>
              <w:spacing w:before="0" w:after="0" w:line="240" w:lineRule="auto"/>
              <w:jc w:val="center"/>
            </w:pPr>
            <w:r>
              <w:rPr>
                <w:rFonts w:ascii="Times New Roman" w:hAnsi="Times New Roman" w:eastAsia="Times New Roman"/>
                <w:b/>
                <w:sz w:val="14"/>
              </w:rPr>
              <w:t>Subtheme</w:t>
            </w:r>
          </w:p>
        </w:tc>
        <w:tc>
          <w:tcPr>
            <w:tcW w:w="7128" w:type="dxa"/>
            <w:shd w:val="clear" w:color="auto" w:fill="D9EAF7"/>
            <w:vAlign w:val="top"/>
          </w:tcPr>
          <w:p>
            <w:pPr>
              <w:spacing w:before="0" w:after="0" w:line="240" w:lineRule="auto"/>
              <w:jc w:val="center"/>
            </w:pPr>
            <w:r>
              <w:rPr>
                <w:rFonts w:ascii="Times New Roman" w:hAnsi="Times New Roman" w:eastAsia="Times New Roman"/>
                <w:b/>
                <w:sz w:val="14"/>
              </w:rPr>
              <w:t>Additional illustrative quotation</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jc w:val="center"/>
        </w:trPr>
        <w:tc>
          <w:tcPr>
            <w:tcW w:w="2232" w:type="dxa"/>
            <w:vAlign w:val="top"/>
          </w:tcPr>
          <w:p>
            <w:pPr>
              <w:spacing w:before="0" w:after="0" w:line="240" w:lineRule="auto"/>
              <w:rPr>
                <w:rFonts w:hint="eastAsia" w:eastAsia="宋体"/>
                <w:lang w:eastAsia="zh-CN"/>
              </w:rPr>
            </w:pPr>
            <w:r>
              <w:rPr>
                <w:rFonts w:hint="eastAsia" w:eastAsia="宋体"/>
                <w:b w:val="0"/>
                <w:sz w:val="14"/>
                <w:lang w:eastAsia="zh-CN"/>
              </w:rPr>
              <w:t>Symptom recognition and diagnostic screening phase</w:t>
            </w:r>
          </w:p>
        </w:tc>
        <w:tc>
          <w:tcPr>
            <w:tcW w:w="936" w:type="dxa"/>
            <w:vAlign w:val="top"/>
          </w:tcPr>
          <w:p>
            <w:pPr>
              <w:spacing w:before="0" w:after="0" w:line="240" w:lineRule="auto"/>
            </w:pPr>
            <w:r>
              <w:rPr>
                <w:rFonts w:ascii="Times New Roman" w:hAnsi="Times New Roman" w:eastAsia="Times New Roman"/>
                <w:b w:val="0"/>
                <w:sz w:val="14"/>
              </w:rPr>
              <w:t>T0</w:t>
            </w:r>
          </w:p>
        </w:tc>
        <w:tc>
          <w:tcPr>
            <w:tcW w:w="1944" w:type="dxa"/>
            <w:vAlign w:val="top"/>
          </w:tcPr>
          <w:p>
            <w:pPr>
              <w:spacing w:before="0" w:after="0" w:line="240" w:lineRule="auto"/>
            </w:pPr>
            <w:r>
              <w:rPr>
                <w:rFonts w:ascii="Times New Roman" w:hAnsi="Times New Roman" w:eastAsia="Times New Roman"/>
                <w:b w:val="0"/>
                <w:sz w:val="14"/>
              </w:rPr>
              <w:t>Key tasks and behaviors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Seeking care after symptom worsening</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“When I was living alone, my toe kept hurting badly and turned black. I bought some medicinal liquor myself and soaked my foot in it. When my daughter came to see me, she noticed it and quickly took me to the hospital.”</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444"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T0</w:t>
            </w:r>
          </w:p>
        </w:tc>
        <w:tc>
          <w:tcPr>
            <w:tcW w:w="1944" w:type="dxa"/>
            <w:vAlign w:val="top"/>
          </w:tcPr>
          <w:p>
            <w:pPr>
              <w:spacing w:before="0" w:after="0" w:line="240" w:lineRule="auto"/>
            </w:pPr>
            <w:r>
              <w:rPr>
                <w:rFonts w:ascii="Times New Roman" w:hAnsi="Times New Roman" w:eastAsia="Times New Roman"/>
                <w:b w:val="0"/>
                <w:sz w:val="14"/>
              </w:rPr>
              <w:t>Key tasks and behaviors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Choosing and transferring to specialist care</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“It is also closer and more convenient for me to come here for treatment.”</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T0</w:t>
            </w:r>
          </w:p>
        </w:tc>
        <w:tc>
          <w:tcPr>
            <w:tcW w:w="1944" w:type="dxa"/>
            <w:vAlign w:val="top"/>
          </w:tcPr>
          <w:p>
            <w:pPr>
              <w:spacing w:before="0" w:after="0" w:line="240" w:lineRule="auto"/>
            </w:pPr>
            <w:r>
              <w:rPr>
                <w:rFonts w:ascii="Times New Roman" w:hAnsi="Times New Roman" w:eastAsia="Times New Roman"/>
                <w:b w:val="0"/>
                <w:sz w:val="14"/>
              </w:rPr>
              <w:t>Key tasks and behaviors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Receiving systematic assessment and a clear diagnosis</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“This was the first time I realized that diabetes required so many nerve-related examinations.”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812"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T0</w:t>
            </w:r>
          </w:p>
        </w:tc>
        <w:tc>
          <w:tcPr>
            <w:tcW w:w="1944" w:type="dxa"/>
            <w:vAlign w:val="top"/>
          </w:tcPr>
          <w:p>
            <w:pPr>
              <w:spacing w:before="0" w:after="0" w:line="240" w:lineRule="auto"/>
            </w:pPr>
            <w:r>
              <w:rPr>
                <w:rFonts w:ascii="Times New Roman" w:hAnsi="Times New Roman" w:eastAsia="Times New Roman"/>
                <w:b w:val="0"/>
                <w:sz w:val="14"/>
              </w:rPr>
              <w:t>Emotional responses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Guilt and regret after neglecting the disease</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“If only I had come to the hospital earlier. It is useless to say that now. The doctor said I had to have an amputation, and I completely broke down. My child is still in school, and the mortgage has not been paid off. Who will take care of them in the future? How will I pay for all this? My mind went blank, and I really did not know what to do.”</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660"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T0</w:t>
            </w:r>
          </w:p>
        </w:tc>
        <w:tc>
          <w:tcPr>
            <w:tcW w:w="1944" w:type="dxa"/>
            <w:vAlign w:val="top"/>
          </w:tcPr>
          <w:p>
            <w:pPr>
              <w:spacing w:before="0" w:after="0" w:line="240" w:lineRule="auto"/>
            </w:pPr>
            <w:r>
              <w:rPr>
                <w:rFonts w:ascii="Times New Roman" w:hAnsi="Times New Roman" w:eastAsia="Times New Roman"/>
                <w:b w:val="0"/>
                <w:sz w:val="14"/>
              </w:rPr>
              <w:t>Decision-making barriers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Insufficient perceived disease risk</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“At first, the foot just hurt a little, so I put on a pain-relief patch. Later, when it turned black, I went to the hospital, and the doctor said it was already very serious.”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87"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T0</w:t>
            </w:r>
          </w:p>
        </w:tc>
        <w:tc>
          <w:tcPr>
            <w:tcW w:w="1944" w:type="dxa"/>
            <w:vAlign w:val="top"/>
          </w:tcPr>
          <w:p>
            <w:pPr>
              <w:spacing w:before="0" w:after="0" w:line="240" w:lineRule="auto"/>
            </w:pPr>
            <w:r>
              <w:rPr>
                <w:rFonts w:ascii="Times New Roman" w:hAnsi="Times New Roman" w:eastAsia="Times New Roman"/>
                <w:b w:val="0"/>
                <w:sz w:val="14"/>
              </w:rPr>
              <w:t>Decision-making barriers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Limited access to specialist services and difficulty choosing where to seek care</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“When my foot first started to feel wrong, I went to the township health center. The doctor there did not have the specialized examination equipment, so I was transferred back and forth among several hospitals.”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604"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T0</w:t>
            </w:r>
          </w:p>
        </w:tc>
        <w:tc>
          <w:tcPr>
            <w:tcW w:w="1944" w:type="dxa"/>
            <w:vAlign w:val="top"/>
          </w:tcPr>
          <w:p>
            <w:pPr>
              <w:spacing w:before="0" w:after="0" w:line="240" w:lineRule="auto"/>
            </w:pPr>
            <w:r>
              <w:rPr>
                <w:rFonts w:ascii="Times New Roman" w:hAnsi="Times New Roman" w:eastAsia="Times New Roman"/>
                <w:b w:val="0"/>
                <w:sz w:val="14"/>
              </w:rPr>
              <w:t>Support needs and facilitating factors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Need for visual and practical health education</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“When the head nurse explained wound care, she used a video we had taken ourselves as a demonstration, and even marked in red the temperature range for foot soaking.”</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70" w:hRule="atLeast"/>
          <w:jc w:val="center"/>
        </w:trPr>
        <w:tc>
          <w:tcPr>
            <w:tcW w:w="2232" w:type="dxa"/>
            <w:vAlign w:val="top"/>
          </w:tcPr>
          <w:p>
            <w:pPr>
              <w:spacing w:before="0" w:after="0" w:line="240" w:lineRule="auto"/>
              <w:rPr>
                <w:rFonts w:hint="eastAsia" w:eastAsia="宋体"/>
                <w:lang w:eastAsia="zh-CN"/>
              </w:rPr>
            </w:pPr>
            <w:r>
              <w:rPr>
                <w:rFonts w:hint="eastAsia" w:eastAsia="宋体"/>
                <w:b w:val="0"/>
                <w:sz w:val="14"/>
                <w:lang w:eastAsia="zh-CN"/>
              </w:rPr>
              <w:t>Amputation treatment decision-making phase</w:t>
            </w:r>
          </w:p>
        </w:tc>
        <w:tc>
          <w:tcPr>
            <w:tcW w:w="936" w:type="dxa"/>
            <w:vAlign w:val="top"/>
          </w:tcPr>
          <w:p>
            <w:pPr>
              <w:spacing w:before="0" w:after="0" w:line="240" w:lineRule="auto"/>
            </w:pPr>
            <w:r>
              <w:rPr>
                <w:rFonts w:ascii="Times New Roman" w:hAnsi="Times New Roman" w:eastAsia="Times New Roman"/>
                <w:b w:val="0"/>
                <w:sz w:val="14"/>
              </w:rPr>
              <w:t>T1</w:t>
            </w:r>
          </w:p>
        </w:tc>
        <w:tc>
          <w:tcPr>
            <w:tcW w:w="1944" w:type="dxa"/>
            <w:vAlign w:val="top"/>
          </w:tcPr>
          <w:p>
            <w:pPr>
              <w:spacing w:before="0" w:after="0" w:line="240" w:lineRule="auto"/>
            </w:pPr>
            <w:r>
              <w:rPr>
                <w:rFonts w:ascii="Times New Roman" w:hAnsi="Times New Roman" w:eastAsia="Times New Roman"/>
                <w:b w:val="0"/>
                <w:sz w:val="14"/>
              </w:rPr>
              <w:t>Key tasks and behaviors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Seeking professional explanation and weighing the amputation extent</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“During hospitalization, the doctor told me that my foot injury was already too severe to be saved. If I kept delaying treatment, it could endanger my life, so I had to undergo the amputation immediately.”</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94"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T1</w:t>
            </w:r>
          </w:p>
        </w:tc>
        <w:tc>
          <w:tcPr>
            <w:tcW w:w="1944" w:type="dxa"/>
            <w:vAlign w:val="top"/>
          </w:tcPr>
          <w:p>
            <w:pPr>
              <w:spacing w:before="0" w:after="0" w:line="240" w:lineRule="auto"/>
            </w:pPr>
            <w:r>
              <w:rPr>
                <w:rFonts w:ascii="Times New Roman" w:hAnsi="Times New Roman" w:eastAsia="Times New Roman"/>
                <w:b w:val="0"/>
                <w:sz w:val="14"/>
              </w:rPr>
              <w:t>Emotional responses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Coexisting fear, worry, and relief related to amputation</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“The doctor said my little toe had turned black and needed to be removed. When I heard that, I felt a chill all over. Just a few weeks earlier it was only a small black spot. How could it have progressed so quickly?”</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89"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T1</w:t>
            </w:r>
          </w:p>
        </w:tc>
        <w:tc>
          <w:tcPr>
            <w:tcW w:w="1944" w:type="dxa"/>
            <w:vAlign w:val="top"/>
          </w:tcPr>
          <w:p>
            <w:pPr>
              <w:spacing w:before="0" w:after="0" w:line="240" w:lineRule="auto"/>
            </w:pPr>
            <w:r>
              <w:rPr>
                <w:rFonts w:ascii="Times New Roman" w:hAnsi="Times New Roman" w:eastAsia="Times New Roman"/>
                <w:b w:val="0"/>
                <w:sz w:val="14"/>
              </w:rPr>
              <w:t>Decision-making barriers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Limited opportunities for effective communication</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“I searched online and saw that the five-year survival rate after amputation was less than 40%. My heart sank. With the operation costing so much money, what is the point of doing it?”</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878"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T1</w:t>
            </w:r>
          </w:p>
        </w:tc>
        <w:tc>
          <w:tcPr>
            <w:tcW w:w="1944" w:type="dxa"/>
            <w:vAlign w:val="top"/>
          </w:tcPr>
          <w:p>
            <w:pPr>
              <w:spacing w:before="0" w:after="0" w:line="240" w:lineRule="auto"/>
            </w:pPr>
            <w:r>
              <w:rPr>
                <w:rFonts w:ascii="Times New Roman" w:hAnsi="Times New Roman" w:eastAsia="Times New Roman"/>
                <w:b w:val="0"/>
                <w:sz w:val="14"/>
              </w:rPr>
              <w:t>Decision-making barriers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Difficulty understanding treatment options</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“The doctor said I needed vascular recanalization first. I got angry as soon as I heard that. I was already at the stage of amputation, so why did I still need an interventional procedure? With another forty to fifty thousand yuan in surgical costs, it felt like they were just asking us to spend more money.”</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85"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T1</w:t>
            </w:r>
          </w:p>
        </w:tc>
        <w:tc>
          <w:tcPr>
            <w:tcW w:w="1944" w:type="dxa"/>
            <w:vAlign w:val="top"/>
          </w:tcPr>
          <w:p>
            <w:pPr>
              <w:spacing w:before="0" w:after="0" w:line="240" w:lineRule="auto"/>
            </w:pPr>
            <w:r>
              <w:rPr>
                <w:rFonts w:ascii="Times New Roman" w:hAnsi="Times New Roman" w:eastAsia="Times New Roman"/>
                <w:b w:val="0"/>
                <w:sz w:val="14"/>
              </w:rPr>
              <w:t>Support needs and facilitating factors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Multidisciplinary explanation and treatment coordination</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“Only after coming to this hospital did I learn that I had vascular problems. Today, the endocrinology doctor and the interventional physician also discussed the treatment process with me.”</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850"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T1</w:t>
            </w:r>
          </w:p>
        </w:tc>
        <w:tc>
          <w:tcPr>
            <w:tcW w:w="1944" w:type="dxa"/>
            <w:vAlign w:val="top"/>
          </w:tcPr>
          <w:p>
            <w:pPr>
              <w:spacing w:before="0" w:after="0" w:line="240" w:lineRule="auto"/>
            </w:pPr>
            <w:r>
              <w:rPr>
                <w:rFonts w:ascii="Times New Roman" w:hAnsi="Times New Roman" w:eastAsia="Times New Roman"/>
                <w:b w:val="0"/>
                <w:sz w:val="14"/>
              </w:rPr>
              <w:t>Support needs and facilitating factors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Tiered and individualized communication about treatment options</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“At the previous hospital, they simply told me that the leg was already very serious and had to be amputated. But here, the doctors talked with me for a long time and offered me two options to choose from. That made me feel that I was not out of options.”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646" w:hRule="atLeast"/>
          <w:jc w:val="center"/>
        </w:trPr>
        <w:tc>
          <w:tcPr>
            <w:tcW w:w="2232" w:type="dxa"/>
            <w:vAlign w:val="top"/>
          </w:tcPr>
          <w:p>
            <w:pPr>
              <w:spacing w:before="0" w:after="0" w:line="240" w:lineRule="auto"/>
              <w:rPr>
                <w:rFonts w:hint="eastAsia" w:eastAsia="宋体"/>
                <w:lang w:eastAsia="zh-CN"/>
              </w:rPr>
            </w:pPr>
            <w:r>
              <w:rPr>
                <w:rFonts w:hint="eastAsia" w:eastAsia="宋体"/>
                <w:b w:val="0"/>
                <w:sz w:val="14"/>
                <w:lang w:eastAsia="zh-CN"/>
              </w:rPr>
              <w:t>Home rehabilitation and long-term self-management phase</w:t>
            </w: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Key tasks and behaviors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Regular follow-up visits and wound monitoring</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“My foot condition is quite serious, so we come twice a week. Going back and forth to the hospital is a bit troublesome, but it also makes us feel reassured.”</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80" w:hRule="atLeast"/>
          <w:jc w:val="center"/>
        </w:trPr>
        <w:tc>
          <w:tcPr>
            <w:tcW w:w="2232" w:type="dxa"/>
            <w:vAlign w:val="top"/>
          </w:tcPr>
          <w:p>
            <w:pPr>
              <w:spacing w:before="0" w:after="0" w:line="240" w:lineRule="auto"/>
              <w:rPr>
                <w:rFonts w:hint="eastAsia" w:eastAsia="宋体"/>
                <w:lang w:eastAsia="zh-CN"/>
              </w:rPr>
            </w:pPr>
            <w:r>
              <w:rPr>
                <w:rFonts w:hint="eastAsia" w:eastAsia="宋体"/>
                <w:b w:val="0"/>
                <w:sz w:val="14"/>
                <w:lang w:eastAsia="zh-CN"/>
              </w:rPr>
              <w:t>Home rehabilitation and long-term self-management phase</w:t>
            </w:r>
            <w:bookmarkStart w:id="0" w:name="_GoBack"/>
            <w:bookmarkEnd w:id="0"/>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Key tasks and behaviors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Implementing home wound care and chronic disease management</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“The nurses teach me some precautions, but when there is too much information, I cannot remember it all. If I do not understand something next time, I still have to ask them.”</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669"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Key tasks and behaviors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Implementing home wound care and chronic disease management</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“I do not have much education, and sometimes I cannot really understand what the doctor says about how to change the dressing.”</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376"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Emotional responses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Altered body image and impaired self-esteem</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“I still find it hard to accept losing a big toe. I am someone who cares a lot about appearance.”</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396"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Emotional responses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Altered body image and impaired self-esteem</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“Every time the dressing was changed, the pungent smell made me feel as if my body was rotting.”</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75"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Emotional responses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Adapting to a life with activity limitations</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“My whole family and the doctors are encouraging me. I think I need some time to take it slowly. Right now, I just want to let the wound heal first.”</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859"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Emotional responses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Satisfaction and regret regarding previous treatment decisions</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“I should have listened to the doctor earlier. If I had had the toe amputated sooner, it would have been better. I went through dressing changes for a long time and suffered so much pain for nothing. Now, although my little toe is gone, my life has basically not changed, and things have returned to normal.”</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Decision-making barriers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Reduced self-care ability and insufficient self-management skills</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“Now I cannot even go to the toilet by myself. What is the meaning of living like this?”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42"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Decision-making barriers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Reduced self-care ability and insufficient self-management skills</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“The doctor said that after getting the prosthesis, I would have to practice walking every day, but I cannot even figure out how to fit my knee into the socket.”</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594"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Decision-making barriers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Financial burden and conflict with family responsibilities</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“This illness has really used up the family’s savings. Now I still do not know where the money for medication will come from, and I cannot even pay my child’s tuition.”</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794"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Support needs and facilitating factors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Continuity of care and functional rehabilitation support</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“Our wound has almost recovered now. The doctors and nurses taught us rehabilitation exercises during hospitalization, but after going home, we often cannot remember the key points. Later, the standardized training videos sent through the hospital follow-up platform were much more professional than the videos we found online ourselves.”</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617"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Support needs and facilitating factors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Continuity of care and functional rehabilitation support</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“The nurse added me to a diabetic foot patient group. In the group, we can watch some rehabilitation education videos, and if we have questions, we can ask each other. I no longer feel like I am fighting alone.”</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cantSplit/>
          <w:trHeight w:val="646" w:hRule="atLeast"/>
          <w:jc w:val="center"/>
        </w:trPr>
        <w:tc>
          <w:tcPr>
            <w:tcW w:w="2232" w:type="dxa"/>
            <w:vAlign w:val="top"/>
          </w:tcPr>
          <w:p>
            <w:pPr>
              <w:spacing w:before="0" w:after="0" w:line="240" w:lineRule="auto"/>
            </w:pPr>
          </w:p>
        </w:tc>
        <w:tc>
          <w:tcPr>
            <w:tcW w:w="936" w:type="dxa"/>
            <w:vAlign w:val="top"/>
          </w:tcPr>
          <w:p>
            <w:pPr>
              <w:spacing w:before="0" w:after="0" w:line="240" w:lineRule="auto"/>
            </w:pPr>
            <w:r>
              <w:rPr>
                <w:rFonts w:ascii="Times New Roman" w:hAnsi="Times New Roman" w:eastAsia="Times New Roman"/>
                <w:b w:val="0"/>
                <w:sz w:val="14"/>
              </w:rPr>
              <w:t>T2/T3</w:t>
            </w:r>
          </w:p>
        </w:tc>
        <w:tc>
          <w:tcPr>
            <w:tcW w:w="1944" w:type="dxa"/>
            <w:vAlign w:val="top"/>
          </w:tcPr>
          <w:p>
            <w:pPr>
              <w:spacing w:before="0" w:after="0" w:line="240" w:lineRule="auto"/>
            </w:pPr>
            <w:r>
              <w:rPr>
                <w:rFonts w:ascii="Times New Roman" w:hAnsi="Times New Roman" w:eastAsia="Times New Roman"/>
                <w:b w:val="0"/>
                <w:sz w:val="14"/>
              </w:rPr>
              <w:t>Support needs and facilitating factors</w:t>
            </w:r>
          </w:p>
        </w:tc>
        <w:tc>
          <w:tcPr>
            <w:tcW w:w="316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Body-image adaptation and psychological support</w:t>
            </w:r>
          </w:p>
        </w:tc>
        <w:tc>
          <w:tcPr>
            <w:tcW w:w="7128" w:type="dxa"/>
            <w:vAlign w:val="top"/>
          </w:tcPr>
          <w:p>
            <w:pPr>
              <w:keepNext w:val="0"/>
              <w:keepLines w:val="0"/>
              <w:pageBreakBefore w:val="0"/>
              <w:widowControl/>
              <w:kinsoku/>
              <w:wordWrap/>
              <w:overflowPunct/>
              <w:topLinePunct w:val="0"/>
              <w:autoSpaceDE/>
              <w:autoSpaceDN/>
              <w:bidi w:val="0"/>
              <w:adjustRightInd/>
              <w:snapToGrid/>
              <w:spacing w:before="0" w:after="0" w:line="360" w:lineRule="auto"/>
              <w:textAlignment w:val="auto"/>
            </w:pPr>
            <w:r>
              <w:rPr>
                <w:rFonts w:ascii="Times New Roman" w:hAnsi="Times New Roman" w:eastAsia="Times New Roman"/>
                <w:b w:val="0"/>
                <w:sz w:val="14"/>
              </w:rPr>
              <w:t>“The doctor also comforted me and said that once the wound completely healed, I could have customized shoes made, so that I would be able to wear shoes and walk. That gave me something to look forward to.”</w:t>
            </w:r>
          </w:p>
        </w:tc>
      </w:tr>
    </w:tbl>
    <w:p/>
    <w:sectPr>
      <w:pgSz w:w="16838" w:h="11906" w:orient="landscape"/>
      <w:pgMar w:top="648" w:right="648" w:bottom="648" w:left="64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Noto Serif HK"/>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jMTA1MmY2N2JhYzVjY2U1Nzg0YzM1NmI1ZjhmYmQifQ=="/>
  </w:docVars>
  <w:rsids>
    <w:rsidRoot w:val="00B47730"/>
    <w:rsid w:val="00034616"/>
    <w:rsid w:val="0006063C"/>
    <w:rsid w:val="0015074B"/>
    <w:rsid w:val="0029639D"/>
    <w:rsid w:val="00326F90"/>
    <w:rsid w:val="00AA1D8D"/>
    <w:rsid w:val="00B47730"/>
    <w:rsid w:val="00CB0664"/>
    <w:rsid w:val="00FC693F"/>
    <w:rsid w:val="26D314CC"/>
    <w:rsid w:val="27571AA6"/>
    <w:rsid w:val="71882F5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20"/>
      <w:szCs w:val="22"/>
      <w:lang w:val="en-US" w:eastAsia="en-US" w:bidi="ar-SA"/>
    </w:rPr>
  </w:style>
  <w:style w:type="paragraph" w:styleId="3">
    <w:name w:val="heading 1"/>
    <w:basedOn w:val="1"/>
    <w:next w:val="1"/>
    <w:link w:val="138"/>
    <w:autoRedefine/>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autoRedefine/>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autoRedefine/>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autoRedefine/>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autoRedefine/>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autoRedefine/>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autoRedefine/>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autoRedefine/>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autoRedefine/>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2">
    <w:name w:val="macro"/>
    <w:link w:val="147"/>
    <w:autoRedefine/>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autoRedefine/>
    <w:unhideWhenUsed/>
    <w:qFormat/>
    <w:uiPriority w:val="99"/>
    <w:pPr>
      <w:ind w:left="1080" w:hanging="360"/>
      <w:contextualSpacing/>
    </w:pPr>
  </w:style>
  <w:style w:type="paragraph" w:styleId="13">
    <w:name w:val="List Number 2"/>
    <w:basedOn w:val="1"/>
    <w:autoRedefine/>
    <w:unhideWhenUsed/>
    <w:qFormat/>
    <w:uiPriority w:val="99"/>
    <w:pPr>
      <w:numPr>
        <w:ilvl w:val="0"/>
        <w:numId w:val="1"/>
      </w:numPr>
      <w:contextualSpacing/>
    </w:pPr>
  </w:style>
  <w:style w:type="paragraph" w:styleId="14">
    <w:name w:val="List Number"/>
    <w:basedOn w:val="1"/>
    <w:autoRedefine/>
    <w:unhideWhenUsed/>
    <w:qFormat/>
    <w:uiPriority w:val="99"/>
    <w:pPr>
      <w:numPr>
        <w:ilvl w:val="0"/>
        <w:numId w:val="2"/>
      </w:numPr>
      <w:contextualSpacing/>
    </w:pPr>
  </w:style>
  <w:style w:type="paragraph" w:styleId="15">
    <w:name w:val="caption"/>
    <w:basedOn w:val="1"/>
    <w:next w:val="1"/>
    <w:autoRedefine/>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autoRedefine/>
    <w:unhideWhenUsed/>
    <w:qFormat/>
    <w:uiPriority w:val="99"/>
    <w:pPr>
      <w:numPr>
        <w:ilvl w:val="0"/>
        <w:numId w:val="3"/>
      </w:numPr>
      <w:contextualSpacing/>
    </w:pPr>
  </w:style>
  <w:style w:type="paragraph" w:styleId="17">
    <w:name w:val="Body Text 3"/>
    <w:basedOn w:val="1"/>
    <w:link w:val="146"/>
    <w:autoRedefine/>
    <w:unhideWhenUsed/>
    <w:qFormat/>
    <w:uiPriority w:val="99"/>
    <w:pPr>
      <w:spacing w:after="120"/>
    </w:pPr>
    <w:rPr>
      <w:sz w:val="16"/>
      <w:szCs w:val="16"/>
    </w:rPr>
  </w:style>
  <w:style w:type="paragraph" w:styleId="18">
    <w:name w:val="List Bullet 3"/>
    <w:basedOn w:val="1"/>
    <w:autoRedefine/>
    <w:unhideWhenUsed/>
    <w:qFormat/>
    <w:uiPriority w:val="99"/>
    <w:pPr>
      <w:numPr>
        <w:ilvl w:val="0"/>
        <w:numId w:val="4"/>
      </w:numPr>
      <w:contextualSpacing/>
    </w:pPr>
  </w:style>
  <w:style w:type="paragraph" w:styleId="19">
    <w:name w:val="Body Text"/>
    <w:basedOn w:val="1"/>
    <w:link w:val="144"/>
    <w:autoRedefine/>
    <w:unhideWhenUsed/>
    <w:qFormat/>
    <w:uiPriority w:val="99"/>
    <w:pPr>
      <w:spacing w:after="120"/>
    </w:pPr>
  </w:style>
  <w:style w:type="paragraph" w:styleId="20">
    <w:name w:val="List Number 3"/>
    <w:basedOn w:val="1"/>
    <w:autoRedefine/>
    <w:unhideWhenUsed/>
    <w:qFormat/>
    <w:uiPriority w:val="99"/>
    <w:pPr>
      <w:numPr>
        <w:ilvl w:val="0"/>
        <w:numId w:val="5"/>
      </w:numPr>
      <w:contextualSpacing/>
    </w:pPr>
  </w:style>
  <w:style w:type="paragraph" w:styleId="21">
    <w:name w:val="List 2"/>
    <w:basedOn w:val="1"/>
    <w:autoRedefine/>
    <w:unhideWhenUsed/>
    <w:qFormat/>
    <w:uiPriority w:val="99"/>
    <w:pPr>
      <w:ind w:left="720" w:hanging="360"/>
      <w:contextualSpacing/>
    </w:pPr>
  </w:style>
  <w:style w:type="paragraph" w:styleId="22">
    <w:name w:val="List Continue"/>
    <w:basedOn w:val="1"/>
    <w:autoRedefine/>
    <w:unhideWhenUsed/>
    <w:qFormat/>
    <w:uiPriority w:val="99"/>
    <w:pPr>
      <w:spacing w:after="120"/>
      <w:ind w:left="360"/>
      <w:contextualSpacing/>
    </w:pPr>
  </w:style>
  <w:style w:type="paragraph" w:styleId="23">
    <w:name w:val="List Bullet 2"/>
    <w:basedOn w:val="1"/>
    <w:autoRedefine/>
    <w:unhideWhenUsed/>
    <w:qFormat/>
    <w:uiPriority w:val="99"/>
    <w:pPr>
      <w:numPr>
        <w:ilvl w:val="0"/>
        <w:numId w:val="6"/>
      </w:numPr>
      <w:contextualSpacing/>
    </w:pPr>
  </w:style>
  <w:style w:type="paragraph" w:styleId="24">
    <w:name w:val="footer"/>
    <w:basedOn w:val="1"/>
    <w:link w:val="136"/>
    <w:autoRedefine/>
    <w:unhideWhenUsed/>
    <w:qFormat/>
    <w:uiPriority w:val="99"/>
    <w:pPr>
      <w:tabs>
        <w:tab w:val="center" w:pos="4680"/>
        <w:tab w:val="right" w:pos="9360"/>
      </w:tabs>
      <w:spacing w:after="0" w:line="240" w:lineRule="auto"/>
    </w:pPr>
  </w:style>
  <w:style w:type="paragraph" w:styleId="25">
    <w:name w:val="header"/>
    <w:basedOn w:val="1"/>
    <w:link w:val="135"/>
    <w:autoRedefine/>
    <w:unhideWhenUsed/>
    <w:qFormat/>
    <w:uiPriority w:val="99"/>
    <w:pPr>
      <w:tabs>
        <w:tab w:val="center" w:pos="4680"/>
        <w:tab w:val="right" w:pos="9360"/>
      </w:tabs>
      <w:spacing w:after="0" w:line="240" w:lineRule="auto"/>
    </w:pPr>
  </w:style>
  <w:style w:type="paragraph" w:styleId="26">
    <w:name w:val="Subtitle"/>
    <w:basedOn w:val="1"/>
    <w:next w:val="1"/>
    <w:link w:val="142"/>
    <w:autoRedefine/>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autoRedefine/>
    <w:unhideWhenUsed/>
    <w:qFormat/>
    <w:uiPriority w:val="99"/>
    <w:pPr>
      <w:ind w:left="360" w:hanging="360"/>
      <w:contextualSpacing/>
    </w:pPr>
  </w:style>
  <w:style w:type="paragraph" w:styleId="28">
    <w:name w:val="Body Text 2"/>
    <w:basedOn w:val="1"/>
    <w:link w:val="145"/>
    <w:autoRedefine/>
    <w:unhideWhenUsed/>
    <w:qFormat/>
    <w:uiPriority w:val="99"/>
    <w:pPr>
      <w:spacing w:after="120" w:line="480" w:lineRule="auto"/>
    </w:pPr>
  </w:style>
  <w:style w:type="paragraph" w:styleId="29">
    <w:name w:val="List Continue 2"/>
    <w:basedOn w:val="1"/>
    <w:autoRedefine/>
    <w:unhideWhenUsed/>
    <w:qFormat/>
    <w:uiPriority w:val="99"/>
    <w:pPr>
      <w:spacing w:after="120"/>
      <w:ind w:left="720"/>
      <w:contextualSpacing/>
    </w:pPr>
  </w:style>
  <w:style w:type="paragraph" w:styleId="30">
    <w:name w:val="List Continue 3"/>
    <w:basedOn w:val="1"/>
    <w:autoRedefine/>
    <w:unhideWhenUsed/>
    <w:qFormat/>
    <w:uiPriority w:val="99"/>
    <w:pPr>
      <w:spacing w:after="120"/>
      <w:ind w:left="1080"/>
      <w:contextualSpacing/>
    </w:pPr>
  </w:style>
  <w:style w:type="paragraph" w:styleId="31">
    <w:name w:val="Title"/>
    <w:basedOn w:val="1"/>
    <w:next w:val="1"/>
    <w:link w:val="141"/>
    <w:autoRedefine/>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autoRedefine/>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autoRedefine/>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autoRedefine/>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autoRedefine/>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autoRedefine/>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autoRedefine/>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autoRedefine/>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autoRedefine/>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autoRedefine/>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autoRedefine/>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autoRedefine/>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autoRedefine/>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autoRedefine/>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autoRedefine/>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autoRedefine/>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autoRedefine/>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autoRedefine/>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autoRedefine/>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autoRedefine/>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autoRedefine/>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autoRedefine/>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autoRedefine/>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autoRedefine/>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autoRedefine/>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autoRedefine/>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autoRedefine/>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autoRedefine/>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autoRedefine/>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autoRedefine/>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autoRedefine/>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autoRedefine/>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autoRedefine/>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autoRedefine/>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autoRedefine/>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autoRedefine/>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autoRedefine/>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autoRedefine/>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autoRedefine/>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autoRedefine/>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autoRedefine/>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autoRedefine/>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autoRedefine/>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autoRedefine/>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autoRedefine/>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autoRedefine/>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autoRedefine/>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autoRedefine/>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autoRedefine/>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autoRedefine/>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autoRedefine/>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autoRedefine/>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autoRedefine/>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autoRedefine/>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autoRedefine/>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autoRedefine/>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autoRedefine/>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autoRedefine/>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autoRedefine/>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autoRedefine/>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autoRedefine/>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autoRedefine/>
    <w:qFormat/>
    <w:uiPriority w:val="22"/>
    <w:rPr>
      <w:b/>
      <w:bCs/>
    </w:rPr>
  </w:style>
  <w:style w:type="character" w:styleId="134">
    <w:name w:val="Emphasis"/>
    <w:basedOn w:val="132"/>
    <w:autoRedefine/>
    <w:qFormat/>
    <w:uiPriority w:val="20"/>
    <w:rPr>
      <w:i/>
      <w:iCs/>
    </w:rPr>
  </w:style>
  <w:style w:type="character" w:customStyle="1" w:styleId="135">
    <w:name w:val="Header Char"/>
    <w:basedOn w:val="132"/>
    <w:link w:val="25"/>
    <w:autoRedefine/>
    <w:qFormat/>
    <w:uiPriority w:val="99"/>
  </w:style>
  <w:style w:type="character" w:customStyle="1" w:styleId="136">
    <w:name w:val="Footer Char"/>
    <w:basedOn w:val="132"/>
    <w:link w:val="24"/>
    <w:autoRedefine/>
    <w:qFormat/>
    <w:uiPriority w:val="99"/>
  </w:style>
  <w:style w:type="paragraph" w:styleId="137">
    <w:name w:val="No Spacing"/>
    <w:autoRedefine/>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autoRedefine/>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autoRedefine/>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autoRedefine/>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autoRedefine/>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autoRedefine/>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autoRedefine/>
    <w:qFormat/>
    <w:uiPriority w:val="34"/>
    <w:pPr>
      <w:ind w:left="720"/>
      <w:contextualSpacing/>
    </w:pPr>
  </w:style>
  <w:style w:type="character" w:customStyle="1" w:styleId="144">
    <w:name w:val="Body Text Char"/>
    <w:basedOn w:val="132"/>
    <w:link w:val="19"/>
    <w:autoRedefine/>
    <w:qFormat/>
    <w:uiPriority w:val="99"/>
  </w:style>
  <w:style w:type="character" w:customStyle="1" w:styleId="145">
    <w:name w:val="Body Text 2 Char"/>
    <w:basedOn w:val="132"/>
    <w:link w:val="28"/>
    <w:autoRedefine/>
    <w:qFormat/>
    <w:uiPriority w:val="99"/>
  </w:style>
  <w:style w:type="character" w:customStyle="1" w:styleId="146">
    <w:name w:val="Body Text 3 Char"/>
    <w:basedOn w:val="132"/>
    <w:link w:val="17"/>
    <w:autoRedefine/>
    <w:qFormat/>
    <w:uiPriority w:val="99"/>
    <w:rPr>
      <w:sz w:val="16"/>
      <w:szCs w:val="16"/>
    </w:rPr>
  </w:style>
  <w:style w:type="character" w:customStyle="1" w:styleId="147">
    <w:name w:val="Macro Text Char"/>
    <w:basedOn w:val="132"/>
    <w:link w:val="2"/>
    <w:autoRedefine/>
    <w:qFormat/>
    <w:uiPriority w:val="99"/>
    <w:rPr>
      <w:rFonts w:ascii="Courier" w:hAnsi="Courier"/>
      <w:sz w:val="20"/>
      <w:szCs w:val="20"/>
    </w:rPr>
  </w:style>
  <w:style w:type="paragraph" w:styleId="148">
    <w:name w:val="Quote"/>
    <w:basedOn w:val="1"/>
    <w:next w:val="1"/>
    <w:link w:val="149"/>
    <w:autoRedefine/>
    <w:qFormat/>
    <w:uiPriority w:val="29"/>
    <w:rPr>
      <w:i/>
      <w:iCs/>
      <w:color w:val="000000" w:themeColor="text1"/>
      <w14:textFill>
        <w14:solidFill>
          <w14:schemeClr w14:val="tx1"/>
        </w14:solidFill>
      </w14:textFill>
    </w:rPr>
  </w:style>
  <w:style w:type="character" w:customStyle="1" w:styleId="149">
    <w:name w:val="Quote Char"/>
    <w:basedOn w:val="132"/>
    <w:link w:val="148"/>
    <w:autoRedefine/>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autoRedefine/>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autoRedefine/>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autoRedefine/>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autoRedefine/>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autoRedefine/>
    <w:qFormat/>
    <w:uiPriority w:val="30"/>
    <w:rPr>
      <w:b/>
      <w:bCs/>
      <w:i/>
      <w:iCs/>
      <w:color w:val="4F81BD" w:themeColor="accent1"/>
      <w14:textFill>
        <w14:solidFill>
          <w14:schemeClr w14:val="accent1"/>
        </w14:solidFill>
      </w14:textFill>
    </w:rPr>
  </w:style>
  <w:style w:type="character" w:customStyle="1" w:styleId="158">
    <w:name w:val="Subtle Emphasis"/>
    <w:basedOn w:val="13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autoRedefine/>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autoRedefine/>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autoRedefine/>
    <w:semiHidden/>
    <w:unhideWhenUsed/>
    <w:qFormat/>
    <w:uiPriority w:val="39"/>
    <w:pPr>
      <w:outlineLvl w:val="9"/>
    </w:pPr>
  </w:style>
  <w:style w:type="paragraph" w:customStyle="1" w:styleId="164">
    <w:name w:val="SupplementTitle"/>
    <w:autoRedefine/>
    <w:qFormat/>
    <w:uiPriority w:val="0"/>
    <w:pPr>
      <w:spacing w:after="120" w:line="276" w:lineRule="auto"/>
    </w:pPr>
    <w:rPr>
      <w:rFonts w:ascii="Times New Roman" w:hAnsi="Times New Roman" w:eastAsia="Times New Roman" w:cstheme="minorBidi"/>
      <w:b/>
      <w:sz w:val="24"/>
      <w:szCs w:val="22"/>
      <w:lang w:val="en-US" w:eastAsia="en-US" w:bidi="ar-SA"/>
    </w:rPr>
  </w:style>
  <w:style w:type="paragraph" w:customStyle="1" w:styleId="165">
    <w:name w:val="SupplementNote"/>
    <w:autoRedefine/>
    <w:qFormat/>
    <w:uiPriority w:val="0"/>
    <w:pPr>
      <w:spacing w:after="120" w:line="276" w:lineRule="auto"/>
    </w:pPr>
    <w:rPr>
      <w:rFonts w:ascii="Times New Roman" w:hAnsi="Times New Roman" w:eastAsia="Times New Roman" w:cstheme="minorBidi"/>
      <w:sz w:val="18"/>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CHEN</dc:creator>
  <dc:description>generated by python-docx</dc:description>
  <cp:lastModifiedBy>CHEN</cp:lastModifiedBy>
  <dcterms:modified xsi:type="dcterms:W3CDTF">2026-07-06T06:07:37Z</dcterms:modified>
  <dc:subject>English supplementary tables</dc:subject>
  <dc:title>Supplementary Materials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FAA1FF2574E944049F5AEDEE2B9DCC15_12</vt:lpwstr>
  </property>
</Properties>
</file>