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2989">
      <w:pPr>
        <w:spacing w:before="0" w:after="0"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/>
          <w:b/>
          <w:i w:val="0"/>
          <w:sz w:val="36"/>
        </w:rPr>
        <w:t>Supplementary File 1. Supplementary Methods and Analytic Tables</w:t>
      </w:r>
    </w:p>
    <w:p w14:paraId="51CE65FD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When Protection Does Not Attach: Caregiver Continuity, Temperamental Susceptibility, and Attachment Disorder Symptoms among Children in Alternative Care in China</w:t>
      </w:r>
    </w:p>
    <w:p w14:paraId="34EC7BC8"/>
    <w:p w14:paraId="4EA75D11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Supplementary Method S1. Measure Adaptation and Coding Quality</w:t>
      </w:r>
    </w:p>
    <w:p w14:paraId="66A8A8EF">
      <w:pPr>
        <w:spacing w:before="0" w:after="0" w:line="360" w:lineRule="auto"/>
        <w:ind w:firstLine="48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The RAD/DSED interview was adapted from the Disturbances of Attachment Interview through translation, back-translation, expert review, and pilot testing with caregivers from institutional, foster, kinship, and community settings. Interviewers received standardized training before fieldwork, and a subset of interviews was double-coded to estimate inter-rater reliability. The adaptation retained the distinction between inhibited attachment-related symptoms and socially disinhibited behavior toward unfamiliar adults. Because the study did not conduct a full psychiatric diagnostic interview for every child, the outcomes are reported as symptom scores rather than clinical diagnoses.</w:t>
      </w:r>
    </w:p>
    <w:p w14:paraId="2272CEE0">
      <w:pPr>
        <w:spacing w:before="0" w:after="0" w:line="360" w:lineRule="auto"/>
        <w:ind w:firstLine="48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Observed caregiver sensitivity was coded from brief caregiver-child interaction tasks. Coders completed practice coding before fieldwork, a subset of recordings was double-coded to estimate reliability, and an additional blind-recoding subset was used to assess whether contextual knowledge affected ratings. Discrepancies were resolved after reliability estimation. These procedures support measurement transparency while protecting child-welfare records and site identities. Additional domain-level measure and coding details are provided in Supplementary File 2, and analytic variable definitions are provided in Supplementary File 3.</w:t>
      </w:r>
    </w:p>
    <w:p w14:paraId="2A71E189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S1. Conceptual Definitions of Care Contexts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68EA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6EC20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Care context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DD51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Operational definition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D13A2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Expected relational profile</w:t>
            </w:r>
          </w:p>
        </w:tc>
      </w:tr>
      <w:tr w14:paraId="71E5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90B5A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Institutional care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1039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Residential child-welfare or social-welfare institution; paid staff; centralized routines.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75CD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Highest risk of caregiver rotation, limited one-to-one comfort, and weaker primary-caregiver assignment.</w:t>
            </w:r>
          </w:p>
        </w:tc>
      </w:tr>
      <w:tr w14:paraId="329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4604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Family-like group care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2FD01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Small units or group homes designed to approximate family routines under organizational supervision.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FDA72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Potentially better continuity than institutions, but still vulnerable to shift work and professional distance.</w:t>
            </w:r>
          </w:p>
        </w:tc>
      </w:tr>
      <w:tr w14:paraId="4462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2D771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Family foster care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443E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Formal placement with approved non-relative foster caregivers.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326FF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Potentially high continuity and sensitivity if caregivers receive sufficient training and support.</w:t>
            </w:r>
          </w:p>
        </w:tc>
      </w:tr>
      <w:tr w14:paraId="2EA8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20197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Kinship care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AB84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 by relatives or extended-family members when parents cannot provide care.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30CA6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Relational familiarity and cultural continuity, but variable economic and caregiving resources.</w:t>
            </w:r>
          </w:p>
        </w:tc>
      </w:tr>
      <w:tr w14:paraId="1A8C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7415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Low-SES community family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EF9C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Biological-family comparison group with socioeconomic risk but no state placement.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54BC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Socioeconomic risk without formal alternative-care exposure; not a normative ideal group.</w:t>
            </w:r>
          </w:p>
        </w:tc>
      </w:tr>
    </w:tbl>
    <w:p w14:paraId="1AAF4401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These definitions follow the study terminology used in the main manuscript and are reported to clarify how administrative categories were translated into relational care contexts.</w:t>
      </w:r>
    </w:p>
    <w:p w14:paraId="13E3095F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S2. Measurement Plan and Temporal Ordering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1C7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9BC99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Construct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4E25B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Timing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82F16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Primary source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84C53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Purpose in model</w:t>
            </w:r>
          </w:p>
        </w:tc>
      </w:tr>
      <w:tr w14:paraId="67E5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16502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 type and placement history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68540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2526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Administrative records and caregiver interview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AD99B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Distal context and selection controls.</w:t>
            </w:r>
          </w:p>
        </w:tc>
      </w:tr>
      <w:tr w14:paraId="2BAD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D8BAC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Child temperament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FA92B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65396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Age-appropriate caregiver-report scale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B60BA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Susceptibility moderator.</w:t>
            </w:r>
          </w:p>
        </w:tc>
      </w:tr>
      <w:tr w14:paraId="43B3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1CF3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RAD/DSED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8C967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3012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 and caregiver report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F834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Controls prior symptoms and strengthens temporal inference.</w:t>
            </w:r>
          </w:p>
        </w:tc>
      </w:tr>
      <w:tr w14:paraId="1680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07CDD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 continuity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E22B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BCB2F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Records plus caregiver report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4445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First mediator: relational stability.</w:t>
            </w:r>
          </w:p>
        </w:tc>
      </w:tr>
      <w:tr w14:paraId="4ED0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B0BE5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 sensitivity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EAA6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892AF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Observed interaction coding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F4F9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Second mediator: emotional responsiveness.</w:t>
            </w:r>
          </w:p>
        </w:tc>
      </w:tr>
      <w:tr w14:paraId="5A5D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92751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RAD/DSED symptoms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A8A7C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63163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 plus observation when feasible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2389E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outcomes.</w:t>
            </w:r>
          </w:p>
        </w:tc>
      </w:tr>
      <w:tr w14:paraId="1265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C197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Socioemotional adjustment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28AB6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781CD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SDQ/CBCL screening scale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0C774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Secondary outcomes and clinical validity.</w:t>
            </w:r>
          </w:p>
        </w:tc>
      </w:tr>
    </w:tbl>
    <w:p w14:paraId="20FCFD3C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T1-T2-T3 ordering is the minimum requirement for a credible mediation claim. Cross-sectional mediation should not be used as causal evidence.</w:t>
      </w:r>
    </w:p>
    <w:p w14:paraId="1E16E599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S3. Hypotheses and Interpretive Safeguards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D49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8137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Hypothesis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F1F5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Core test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5FDCA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Interpretive safeguard</w:t>
            </w:r>
          </w:p>
        </w:tc>
      </w:tr>
      <w:tr w14:paraId="2F8F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F353B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H1: Care type predicts later RAD/DSED.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79E73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 symptoms regressed on T1 care type with T1 symptoms and selection covariates.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F8ED2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Use prospective language; do not claim random assignment.</w:t>
            </w:r>
          </w:p>
        </w:tc>
      </w:tr>
      <w:tr w14:paraId="6148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6B674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H2: Care type predicts continuity and sensitivity.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0226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T2 mediators regressed on T1 care type and baseline covariates.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BD490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Use only pre-mediator covariates.</w:t>
            </w:r>
          </w:p>
        </w:tc>
      </w:tr>
      <w:tr w14:paraId="6B57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C370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H3: Continuity/sensitivity predict later symptoms.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9BFA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 symptoms regressed on T2 mediators, T1 symptoms, care type, and covariates.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4FE5F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Controls baseline symptoms to reduce reverse interpretation.</w:t>
            </w:r>
          </w:p>
        </w:tc>
      </w:tr>
      <w:tr w14:paraId="5C71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B3AF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H4: Indirect pathway through continuity and sensitivity.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C45A5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Bootstrap or Monte Carlo indirect effects under T1-T2-T3 ordering.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F77E2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Interpret as theory-consistent indirect association, not definitive causation.</w:t>
            </w:r>
          </w:p>
        </w:tc>
      </w:tr>
      <w:tr w14:paraId="0EDA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3C9D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H5-H6: Temperament moderation and moderated mediation.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E28A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Interaction terms and conditional indirect effects.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1276C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Differentiate diathesis-stress from full differential susceptibility.</w:t>
            </w:r>
          </w:p>
        </w:tc>
      </w:tr>
    </w:tbl>
    <w:p w14:paraId="5D3A7FA0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The table states how each hypothesis is tested while keeping causal claims proportional to the observational design.</w:t>
      </w:r>
    </w:p>
    <w:p w14:paraId="1789EFED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S4. Analytic Model Specifications and Interpretation Rules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79C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ECABE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Analysis component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4D33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Model specification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6830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Interpretation rule</w:t>
            </w:r>
          </w:p>
        </w:tc>
      </w:tr>
      <w:tr w14:paraId="7E05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2E51D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Recruitment and analytic sample flow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2621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Eligible cases, consent, T1/T2/T3 retention, exclusions, and final analytic N by care context.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106F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Use transparent denominators and report attrition rather than smoothing field loss.</w:t>
            </w:r>
          </w:p>
        </w:tc>
      </w:tr>
      <w:tr w14:paraId="1393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0EAE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characteristics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29EB8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Group sizes, age, gender, placement history, adversity, baseline RAD/DSED, and caregiver education.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46579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Treat imbalance as expected in non-random placement and address it through adjustment and weighting.</w:t>
            </w:r>
          </w:p>
        </w:tc>
      </w:tr>
      <w:tr w14:paraId="5915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C492B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Measurement quality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E136F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Alpha/omega, ICC/kappa, task convergence, descriptive statistics, and missingness.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5514D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Interpret RAD/DSED as symptom scores unless diagnostic procedures support diagnosis.</w:t>
            </w:r>
          </w:p>
        </w:tc>
      </w:tr>
      <w:tr w14:paraId="161D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C446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outcome models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09AEA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Adjusted models predicting T3 RAD and DSED from care type, T1 symptoms, selection factors, and site clustering.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C0127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Report prospective associations rather than causal effects of placement.</w:t>
            </w:r>
          </w:p>
        </w:tc>
      </w:tr>
      <w:tr w14:paraId="07E7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DB1AD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Indirect-pathway models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D60B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Temporally ordered paths from T1 care type to T2 continuity/sensitivity to T3 RAD/DSED.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C5301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Interpret indirect effects cautiously when confidence intervals include zero.</w:t>
            </w:r>
          </w:p>
        </w:tc>
      </w:tr>
      <w:tr w14:paraId="0692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30EDA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Moderation and moderated mediation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D50A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Interaction terms, simple slopes, conditional indirect effects, and indexes of moderated mediation.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5125D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Differentiate full differential susceptibility from vulnerability-under-adversity patterns.</w:t>
            </w:r>
          </w:p>
        </w:tc>
      </w:tr>
      <w:tr w14:paraId="0A45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B8EB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Robustness analyses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B1C4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IPW, entropy balancing, imputation, alternative outcome distributions, alternative-care-only sample, and site sensitivity.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81FE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Use robustness checks to define evidence boundaries rather than select the most favorable model.</w:t>
            </w:r>
          </w:p>
        </w:tc>
      </w:tr>
    </w:tbl>
    <w:p w14:paraId="75CFB6D0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These specifications clarify how the main and supplementary analyses are interpreted while keeping causal claims proportional to the observational design.</w:t>
      </w:r>
    </w:p>
    <w:p w14:paraId="293EA892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S5. Expanded Indirect-Effect Interpretation for Care-Type Contrasts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89A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EA78C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Contrast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E7286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Continuity pathway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E86C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Sensitivity pathway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E5938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Interpretation</w:t>
            </w:r>
          </w:p>
        </w:tc>
      </w:tr>
      <w:tr w14:paraId="2507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3D6D3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Family-like group care vs institutional care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A4E37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Indirect effects were not supported; confidence intervals included zero.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54ADC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Indirect effects were not supported; confidence intervals included zero.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D680F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Family-like group care was not interpreted as reliably protective unless it changed proximal caregiving ecology.</w:t>
            </w:r>
          </w:p>
        </w:tc>
      </w:tr>
      <w:tr w14:paraId="53F6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4F67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Foster care vs institutional care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ECE5C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RAD: -0.33, 95% CI [-0.52, -0.16]; DSED: -0.23, 95% CI [-0.40, -0.08].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1A5E9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RAD: -0.25, 95% CI [-0.42, -0.11]; DSED: -0.13, 95% CI [-0.27, 0.01].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C57A8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Continuity was the more robust mechanism; sensitivity was stronger for RAD than DSED.</w:t>
            </w:r>
          </w:p>
        </w:tc>
      </w:tr>
      <w:tr w14:paraId="086D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55DA4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Kinship care vs institutional care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4B10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RAD: -0.21, 95% CI [-0.38, -0.07]; DSED: -0.15, 95% CI [-0.29, -0.02].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D9D4D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RAD: -0.16, 95% CI [-0.30, -0.04]; DSED: -0.08, 95% CI [-0.20, 0.04].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3BBFD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Kinship pathways were meaningful but somewhat less stable than foster-care pathways.</w:t>
            </w:r>
          </w:p>
        </w:tc>
      </w:tr>
      <w:tr w14:paraId="478F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FC5E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Low-SES community family vs institutional care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F7EA2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Not estimated as a substantive alternative-care mechanism.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541D1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Not estimated as a substantive alternative-care mechanism.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93D67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Community comparisons served as socioeconomic benchmarks and were supplemented by alternative-care-only models.</w:t>
            </w:r>
          </w:p>
        </w:tc>
      </w:tr>
    </w:tbl>
    <w:p w14:paraId="7D191E2B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Values are reported only where the manuscript provides estimable contrast-level indirect effects. Community-family comparisons are retained as contextual benchmarks rather than treated as policy-intervention contrasts.</w:t>
      </w:r>
    </w:p>
    <w:p w14:paraId="7BB180A9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Supplementary Table S6. Robustness and Sensitivity Checks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741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F15FE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Check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96486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Purpose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BC85F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Result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62F65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Interpretation</w:t>
            </w:r>
          </w:p>
        </w:tc>
      </w:tr>
      <w:tr w14:paraId="0881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CDA2A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Inverse-probability weighting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BCFD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Reduce observed selection imbalance across care types.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F0071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Foster (RAD): b = -1.09, 95% CI [-1.71, -0.47]; Kinship (RAD): b = -0.61, 95% CI [-1.24, 0.02]; SMD after weighting = 0.19.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DEAB0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Estimates attenuated but direction remained consistent.</w:t>
            </w:r>
          </w:p>
        </w:tc>
      </w:tr>
      <w:tr w14:paraId="23A2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5511F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Entropy balancing / matching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3866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Alternative balance method.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E706B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Matched N = 575; Foster (RAD): b = -1.15, 95% CI [-1.79, -0.51]; Kinship (RAD): b = -0.73, 95% CI [-1.42, -0.04].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22371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Alternative balance method yielded a similar direction.</w:t>
            </w:r>
          </w:p>
        </w:tc>
      </w:tr>
      <w:tr w14:paraId="6626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CBE6E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Multiple imputation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4637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Assess missing-data sensitivity.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86BE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Imputed m = 40; Foster (RAD): b = -1.18, 95% CI [-1.88, -0.48]; Kinship (RAD): b = -0.82, 95% CI [-1.58, -0.06].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BDE2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Results broadly aligned with the complete-case model.</w:t>
            </w:r>
          </w:p>
        </w:tc>
      </w:tr>
      <w:tr w14:paraId="5B72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7ED3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Alternative outcome distribution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DBB86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Check skewness/zero inflation of RAD/DSED.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141CB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Negative binomial IRR for Foster RAD = 0.78, 95% CI [0.67, 0.91]; Kinship RAD = 0.83, 95% CI [0.71, 0.97].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218D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Alternative distribution supported a similar substantive conclusion.</w:t>
            </w:r>
          </w:p>
        </w:tc>
      </w:tr>
      <w:tr w14:paraId="1AC5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D6AD9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Exclude recent placements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37667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Avoid unstable early-placement adjustment period.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C85F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Excluding placements &lt;6 months (N = 42), Foster (RAD): b = -1.31, 95% CI [-1.95, -0.67]; Kinship (RAD): b = -0.92, 95% CI [-1.62, -0.22].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7FEE0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Results were stable after excluding early placements.</w:t>
            </w:r>
          </w:p>
        </w:tc>
      </w:tr>
      <w:tr w14:paraId="3E98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D05F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Alternative care-only sample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8B806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Test whether findings hold without low-SES community comparison.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9B54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Foster (RAD): b = -1.05, 95% CI [-1.70, -0.40]; Kinship (RAD): b = -0.59, 95% CI [-1.28, 0.10]; DSED: Foster b = -0.82, 95% CI [-1.50, -0.14]; Kinship b = -0.58, 95% CI [-1.28, 0.12].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09C4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Foster-care contrast remained stable; kinship estimates were weaker.</w:t>
            </w:r>
          </w:p>
        </w:tc>
      </w:tr>
      <w:tr w14:paraId="1B3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1ACE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Coder blind-status sensitivity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9E20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Assess whether non-blind coding affects results.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464CC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Subset of 20% recoded blind: ICC for sensitivity = 0.68; RAD outcome association b = -0.32, p = .018 vs. b = -0.35 in full sample.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3FC0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Blind recoding supported acceptable reliability.</w:t>
            </w:r>
          </w:p>
        </w:tc>
      </w:tr>
      <w:tr w14:paraId="3A44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01003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Outlier/influential-site check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0CEC7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Detect site-driven findings.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4E07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Leave-one-site-out range: Foster (RAD) b from -1.15 to -1.32; Kinship (RAD) b from -0.78 to -0.95.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A254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No single site drove the primary pattern.</w:t>
            </w:r>
          </w:p>
        </w:tc>
      </w:tr>
    </w:tbl>
    <w:p w14:paraId="4E967E00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Note. These checks clarify the boundary conditions of the main findings and are not used to select the most statistically favorable model.</w:t>
      </w:r>
    </w:p>
    <w:p w14:paraId="309F9941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Supplementary File Structure</w:t>
      </w:r>
    </w:p>
    <w:p w14:paraId="5B0ABA4E">
      <w:pPr>
        <w:spacing w:before="0" w:after="0" w:line="360" w:lineRule="auto"/>
        <w:ind w:firstLine="48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The submission package separates the main manuscript from supporting materials to keep the article readable while giving reviewers enough methodological detail. Supplementary File 1 contains conceptual definitions, temporal ordering, interpretation safeguards, expanded indirect-pathway evidence, and robustness checks. Supplementary File 2 reports domain-level measures and coding protocols. Supplementary File 3 provides the analytic variable codebook and model-specification guide.</w:t>
      </w:r>
    </w:p>
    <w:sectPr>
      <w:footerReference r:id="rId5" w:type="default"/>
      <w:pgSz w:w="11906" w:h="16838"/>
      <w:pgMar w:top="1440" w:right="1440" w:bottom="1440" w:left="1440" w:header="708" w:footer="708" w:gutter="0"/>
      <w:lnNumType w:countBy="1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D83E">
    <w:pPr>
      <w:jc w:val="center"/>
    </w:pPr>
    <w:r>
      <w:rPr>
        <w:rFonts w:ascii="Times New Roman" w:hAnsi="Times New Roman" w:eastAsia="Times New Roman"/>
        <w:sz w:val="24"/>
      </w:rPr>
      <w:fldChar w:fldCharType="begin"/>
    </w:r>
    <w:r>
      <w:rPr>
        <w:rFonts w:ascii="Times New Roman" w:hAnsi="Times New Roman" w:eastAsia="Times New Roman"/>
        <w:sz w:val="24"/>
      </w:rPr>
      <w:instrText xml:space="preserve">PAGE</w:instrText>
    </w:r>
    <w:r>
      <w:rPr>
        <w:rFonts w:ascii="Times New Roman" w:hAnsi="Times New Roman" w:eastAsia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AC4BE8"/>
    <w:rsid w:val="18D45F81"/>
    <w:rsid w:val="6C54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  <w:rPr>
      <w:rFonts w:ascii="Times New Roman" w:hAnsi="Times New Roman" w:eastAsia="Times New Roman"/>
      <w:sz w:val="24"/>
    </w:r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451</Words>
  <Characters>3215</Characters>
  <Lines>0</Lines>
  <Paragraphs>0</Paragraphs>
  <TotalTime>0</TotalTime>
  <ScaleCrop>false</ScaleCrop>
  <LinksUpToDate>false</LinksUpToDate>
  <CharactersWithSpaces>3612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咔咔.</dc:creator>
  <dc:description>generated by python-docx</dc:description>
  <cp:lastModifiedBy>咔咔.</cp:lastModifiedBy>
  <dcterms:modified xsi:type="dcterms:W3CDTF">2026-07-03T09:19:44Z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AC4395DFFFFF4F1A8F722D9B9927F075_13</vt:lpwstr>
  </property>
</Properties>
</file>