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40"/>
        <w:jc w:val="center"/>
      </w:pPr>
      <w:r>
        <w:rPr>
          <w:rFonts w:ascii="Times New Roman" w:hAnsi="Times New Roman" w:eastAsia="Times New Roman"/>
          <w:b/>
          <w:sz w:val="34"/>
        </w:rPr>
        <w:t>Supplementary File 1</w:t>
      </w:r>
    </w:p>
    <w:p>
      <w:pPr>
        <w:jc w:val="center"/>
      </w:pPr>
      <w:r>
        <w:rPr>
          <w:rFonts w:ascii="Times New Roman" w:hAnsi="Times New Roman" w:eastAsia="Times New Roman"/>
          <w:b/>
          <w:sz w:val="26"/>
        </w:rPr>
        <w:t>English-Language Questionnaire and Assessment Protocol</w:t>
      </w:r>
    </w:p>
    <w:p>
      <w:pPr>
        <w:spacing w:before="400"/>
        <w:jc w:val="center"/>
      </w:pPr>
      <w:r>
        <w:rPr>
          <w:rFonts w:ascii="Times New Roman" w:hAnsi="Times New Roman" w:eastAsia="Times New Roman"/>
          <w:i/>
          <w:sz w:val="25"/>
        </w:rPr>
        <w:t>When Protection Does Not Attach: Caregiver Continuity, Temperamental Susceptibility, and Attachment Disorder Symptoms among Children in Alternative Care in China</w:t>
      </w:r>
    </w:p>
    <w:p>
      <w:pPr>
        <w:jc w:val="center"/>
      </w:pPr>
      <w:r>
        <w:rPr>
          <w:rFonts w:ascii="Times New Roman" w:hAnsi="Times New Roman" w:eastAsia="Times New Roman"/>
          <w:sz w:val="22"/>
        </w:rPr>
        <w:t>Author: Ruohan Xu</w:t>
      </w:r>
    </w:p>
    <w:p>
      <w:r>
        <w:br w:type="page"/>
      </w:r>
    </w:p>
    <w:p>
      <w:pPr>
        <w:jc w:val="center"/>
      </w:pPr>
      <w:r>
        <w:rPr>
          <w:rFonts w:ascii="Times New Roman" w:hAnsi="Times New Roman" w:eastAsia="Times New Roman"/>
          <w:b/>
          <w:sz w:val="28"/>
        </w:rPr>
        <w:t>Instrument status and scope</w:t>
      </w:r>
    </w:p>
    <w:p>
      <w:r>
        <w:t>The study used a mixed assessment battery rather than one previously published questionnaire. This document presents the study-developed forms and coding protocols and summarizes the administration and scoring of published measures adapted for the study. Published source measures are cited below. The wording should be checked against the original Chinese instruments, translation records, and field coding manual before submission.</w:t>
      </w:r>
    </w:p>
    <w:tbl>
      <w:tblPr>
        <w:tblW w:type="auto" w:w="0"/>
        <w:jc w:val="center"/>
        <w:tblLayout w:type="autofit"/>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9878"/>
      </w:tblGrid>
      <w:tr>
        <w:tc>
          <w:tcPr>
            <w:tcW w:type="dxa" w:w="9878"/>
            <w:shd w:fill="FCE4D6"/>
            <w:tcMar>
              <w:top w:w="85" w:type="dxa"/>
              <w:start w:w="110" w:type="dxa"/>
              <w:bottom w:w="85" w:type="dxa"/>
              <w:end w:w="110" w:type="dxa"/>
            </w:tcMar>
          </w:tcPr>
          <w:p>
            <w:r>
              <w:rPr>
                <w:rFonts w:ascii="Times New Roman" w:hAnsi="Times New Roman" w:eastAsia="Times New Roman"/>
                <w:b/>
                <w:sz w:val="21"/>
              </w:rPr>
              <w:t>Author-verification notice</w:t>
            </w:r>
          </w:p>
        </w:tc>
      </w:tr>
      <w:tr>
        <w:tc>
          <w:tcPr>
            <w:tcW w:type="dxa" w:w="9878"/>
            <w:tcMar>
              <w:top w:w="85" w:type="dxa"/>
              <w:start w:w="110" w:type="dxa"/>
              <w:bottom w:w="85" w:type="dxa"/>
              <w:end w:w="110" w:type="dxa"/>
            </w:tcMar>
          </w:tcPr>
          <w:p>
            <w:r>
              <w:rPr>
                <w:rFonts w:ascii="Times New Roman" w:hAnsi="Times New Roman" w:eastAsia="Times New Roman"/>
                <w:sz w:val="20"/>
              </w:rPr>
              <w:t>This English-language document was reconstructed from the submitted manuscript. It must not be represented as the exact field instrument unless the author confirms that every item, response option, administration rule, and scoring instruction matches the materials actually approved and used in the study.</w:t>
            </w:r>
          </w:p>
        </w:tc>
      </w:tr>
    </w:tbl>
    <w:p/>
    <w:tbl>
      <w:tblPr>
        <w:tblW w:type="auto" w:w="0"/>
        <w:jc w:val="center"/>
        <w:tblLayout w:type="autofit"/>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9878"/>
      </w:tblGrid>
      <w:tr>
        <w:tc>
          <w:tcPr>
            <w:tcW w:type="dxa" w:w="9878"/>
            <w:shd w:fill="D9EAF7"/>
            <w:tcMar>
              <w:top w:w="85" w:type="dxa"/>
              <w:start w:w="110" w:type="dxa"/>
              <w:bottom w:w="85" w:type="dxa"/>
              <w:end w:w="110" w:type="dxa"/>
            </w:tcMar>
          </w:tcPr>
          <w:p>
            <w:r>
              <w:rPr>
                <w:rFonts w:ascii="Times New Roman" w:hAnsi="Times New Roman" w:eastAsia="Times New Roman"/>
                <w:b/>
                <w:sz w:val="21"/>
              </w:rPr>
              <w:t>Safeguarding and administration</w:t>
            </w:r>
          </w:p>
        </w:tc>
      </w:tr>
      <w:tr>
        <w:tc>
          <w:tcPr>
            <w:tcW w:type="dxa" w:w="9878"/>
            <w:tcMar>
              <w:top w:w="85" w:type="dxa"/>
              <w:start w:w="110" w:type="dxa"/>
              <w:bottom w:w="85" w:type="dxa"/>
              <w:end w:w="110" w:type="dxa"/>
            </w:tcMar>
          </w:tcPr>
          <w:p>
            <w:r>
              <w:rPr>
                <w:rFonts w:ascii="Times New Roman" w:hAnsi="Times New Roman" w:eastAsia="Times New Roman"/>
                <w:sz w:val="20"/>
              </w:rPr>
              <w:t>Assessments were administered by trained staff using trauma-informed procedures. Legal guardian consent, caregiver consent, and developmentally appropriate child assent were obtained as applicable. The frustration and stranger-approach tasks were stopped immediately if the child showed distress. No task encouraged a child to leave a safe setting with an unfamiliar adult.</w:t>
            </w:r>
          </w:p>
        </w:tc>
      </w:tr>
    </w:tbl>
    <w:p/>
    <w:p>
      <w:pPr>
        <w:pStyle w:val="Heading1"/>
      </w:pPr>
      <w:r>
        <w:t>1. Assessment schedule</w:t>
      </w:r>
    </w:p>
    <w:tbl>
      <w:tblPr>
        <w:tblStyle w:val="TableGrid"/>
        <w:tblW w:type="auto" w:w="0"/>
        <w:jc w:val="center"/>
        <w:tblLook w:firstColumn="1" w:firstRow="1" w:lastColumn="0" w:lastRow="0" w:noHBand="0" w:noVBand="1" w:val="04A0"/>
      </w:tblPr>
      <w:tblGrid>
        <w:gridCol w:w="2469"/>
        <w:gridCol w:w="2469"/>
        <w:gridCol w:w="2469"/>
        <w:gridCol w:w="2469"/>
      </w:tblGrid>
      <w:tr>
        <w:trPr>
          <w:tblHeader w:val="true"/>
        </w:trPr>
        <w:tc>
          <w:tcPr>
            <w:tcW w:type="dxa" w:w="2469"/>
            <w:shd w:fill="D9E1F2"/>
            <w:tcMar>
              <w:top w:w="70" w:type="dxa"/>
              <w:start w:w="90" w:type="dxa"/>
              <w:bottom w:w="70" w:type="dxa"/>
              <w:end w:w="90" w:type="dxa"/>
            </w:tcMar>
          </w:tcPr>
          <w:p>
            <w:r>
              <w:rPr>
                <w:rFonts w:ascii="Times New Roman" w:hAnsi="Times New Roman" w:eastAsia="Times New Roman"/>
                <w:b/>
                <w:sz w:val="18"/>
              </w:rPr>
              <w:t>Source</w:t>
            </w:r>
          </w:p>
        </w:tc>
        <w:tc>
          <w:tcPr>
            <w:tcW w:type="dxa" w:w="2469"/>
            <w:shd w:fill="D9E1F2"/>
            <w:tcMar>
              <w:top w:w="70" w:type="dxa"/>
              <w:start w:w="90" w:type="dxa"/>
              <w:bottom w:w="70" w:type="dxa"/>
              <w:end w:w="90" w:type="dxa"/>
            </w:tcMar>
          </w:tcPr>
          <w:p>
            <w:r>
              <w:rPr>
                <w:rFonts w:ascii="Times New Roman" w:hAnsi="Times New Roman" w:eastAsia="Times New Roman"/>
                <w:b/>
                <w:sz w:val="18"/>
              </w:rPr>
              <w:t>T1 baseline</w:t>
            </w:r>
          </w:p>
        </w:tc>
        <w:tc>
          <w:tcPr>
            <w:tcW w:type="dxa" w:w="2469"/>
            <w:shd w:fill="D9E1F2"/>
            <w:tcMar>
              <w:top w:w="70" w:type="dxa"/>
              <w:start w:w="90" w:type="dxa"/>
              <w:bottom w:w="70" w:type="dxa"/>
              <w:end w:w="90" w:type="dxa"/>
            </w:tcMar>
          </w:tcPr>
          <w:p>
            <w:r>
              <w:rPr>
                <w:rFonts w:ascii="Times New Roman" w:hAnsi="Times New Roman" w:eastAsia="Times New Roman"/>
                <w:b/>
                <w:sz w:val="18"/>
              </w:rPr>
              <w:t>T2 (6 months)</w:t>
            </w:r>
          </w:p>
        </w:tc>
        <w:tc>
          <w:tcPr>
            <w:tcW w:type="dxa" w:w="2469"/>
            <w:shd w:fill="D9E1F2"/>
            <w:tcMar>
              <w:top w:w="70" w:type="dxa"/>
              <w:start w:w="90" w:type="dxa"/>
              <w:bottom w:w="70" w:type="dxa"/>
              <w:end w:w="90" w:type="dxa"/>
            </w:tcMar>
          </w:tcPr>
          <w:p>
            <w:r>
              <w:rPr>
                <w:rFonts w:ascii="Times New Roman" w:hAnsi="Times New Roman" w:eastAsia="Times New Roman"/>
                <w:b/>
                <w:sz w:val="18"/>
              </w:rPr>
              <w:t>T3 (12 months)</w:t>
            </w:r>
          </w:p>
        </w:tc>
      </w:tr>
      <w:tr>
        <w:tc>
          <w:tcPr>
            <w:tcW w:type="dxa" w:w="2469"/>
            <w:tcMar>
              <w:top w:w="70" w:type="dxa"/>
              <w:start w:w="90" w:type="dxa"/>
              <w:bottom w:w="70" w:type="dxa"/>
              <w:end w:w="90" w:type="dxa"/>
            </w:tcMar>
          </w:tcPr>
          <w:p>
            <w:r>
              <w:rPr>
                <w:rFonts w:ascii="Times New Roman" w:hAnsi="Times New Roman" w:eastAsia="Times New Roman"/>
                <w:sz w:val="17"/>
              </w:rPr>
              <w:t>Caregiver interview/questionnaire</w:t>
            </w:r>
          </w:p>
        </w:tc>
        <w:tc>
          <w:tcPr>
            <w:tcW w:type="dxa" w:w="2469"/>
            <w:tcMar>
              <w:top w:w="70" w:type="dxa"/>
              <w:start w:w="90" w:type="dxa"/>
              <w:bottom w:w="70" w:type="dxa"/>
              <w:end w:w="90" w:type="dxa"/>
            </w:tcMar>
          </w:tcPr>
          <w:p>
            <w:r>
              <w:rPr>
                <w:rFonts w:ascii="Times New Roman" w:hAnsi="Times New Roman" w:eastAsia="Times New Roman"/>
                <w:sz w:val="17"/>
              </w:rPr>
              <w:t>Care type; placement and adversity history; baseline RAD/DSED; temperament; caregiver and household covariates</w:t>
            </w:r>
          </w:p>
        </w:tc>
        <w:tc>
          <w:tcPr>
            <w:tcW w:type="dxa" w:w="2469"/>
            <w:tcMar>
              <w:top w:w="70" w:type="dxa"/>
              <w:start w:w="90" w:type="dxa"/>
              <w:bottom w:w="70" w:type="dxa"/>
              <w:end w:w="90" w:type="dxa"/>
            </w:tcMar>
          </w:tcPr>
          <w:p>
            <w:r>
              <w:rPr>
                <w:rFonts w:ascii="Times New Roman" w:hAnsi="Times New Roman" w:eastAsia="Times New Roman"/>
                <w:sz w:val="17"/>
              </w:rPr>
              <w:t>Caregiver continuity; caregiver changes; caregiver stress/context</w:t>
            </w:r>
          </w:p>
        </w:tc>
        <w:tc>
          <w:tcPr>
            <w:tcW w:type="dxa" w:w="2469"/>
            <w:tcMar>
              <w:top w:w="70" w:type="dxa"/>
              <w:start w:w="90" w:type="dxa"/>
              <w:bottom w:w="70" w:type="dxa"/>
              <w:end w:w="90" w:type="dxa"/>
            </w:tcMar>
          </w:tcPr>
          <w:p>
            <w:r>
              <w:rPr>
                <w:rFonts w:ascii="Times New Roman" w:hAnsi="Times New Roman" w:eastAsia="Times New Roman"/>
                <w:sz w:val="17"/>
              </w:rPr>
              <w:t>RAD/DSED; secondary socioemotional adjustment</w:t>
            </w:r>
          </w:p>
        </w:tc>
      </w:tr>
      <w:tr>
        <w:tc>
          <w:tcPr>
            <w:tcW w:type="dxa" w:w="2469"/>
            <w:tcMar>
              <w:top w:w="70" w:type="dxa"/>
              <w:start w:w="90" w:type="dxa"/>
              <w:bottom w:w="70" w:type="dxa"/>
              <w:end w:w="90" w:type="dxa"/>
            </w:tcMar>
          </w:tcPr>
          <w:p>
            <w:r>
              <w:rPr>
                <w:rFonts w:ascii="Times New Roman" w:hAnsi="Times New Roman" w:eastAsia="Times New Roman"/>
                <w:sz w:val="17"/>
              </w:rPr>
              <w:t>Administrative/case records</w:t>
            </w:r>
          </w:p>
        </w:tc>
        <w:tc>
          <w:tcPr>
            <w:tcW w:type="dxa" w:w="2469"/>
            <w:tcMar>
              <w:top w:w="70" w:type="dxa"/>
              <w:start w:w="90" w:type="dxa"/>
              <w:bottom w:w="70" w:type="dxa"/>
              <w:end w:w="90" w:type="dxa"/>
            </w:tcMar>
          </w:tcPr>
          <w:p>
            <w:r>
              <w:rPr>
                <w:rFonts w:ascii="Times New Roman" w:hAnsi="Times New Roman" w:eastAsia="Times New Roman"/>
                <w:sz w:val="17"/>
              </w:rPr>
              <w:t>Placement dates; reason for care; age at entry; prior adversity; disability; site and region</w:t>
            </w:r>
          </w:p>
        </w:tc>
        <w:tc>
          <w:tcPr>
            <w:tcW w:type="dxa" w:w="2469"/>
            <w:tcMar>
              <w:top w:w="70" w:type="dxa"/>
              <w:start w:w="90" w:type="dxa"/>
              <w:bottom w:w="70" w:type="dxa"/>
              <w:end w:w="90" w:type="dxa"/>
            </w:tcMar>
          </w:tcPr>
          <w:p>
            <w:r>
              <w:rPr>
                <w:rFonts w:ascii="Times New Roman" w:hAnsi="Times New Roman" w:eastAsia="Times New Roman"/>
                <w:sz w:val="17"/>
              </w:rPr>
              <w:t>Caregiver assignment, staff turnover, weekly hours, and placement changes</w:t>
            </w:r>
          </w:p>
        </w:tc>
        <w:tc>
          <w:tcPr>
            <w:tcW w:type="dxa" w:w="2469"/>
            <w:tcMar>
              <w:top w:w="70" w:type="dxa"/>
              <w:start w:w="90" w:type="dxa"/>
              <w:bottom w:w="70" w:type="dxa"/>
              <w:end w:w="90" w:type="dxa"/>
            </w:tcMar>
          </w:tcPr>
          <w:p>
            <w:r>
              <w:rPr>
                <w:rFonts w:ascii="Times New Roman" w:hAnsi="Times New Roman" w:eastAsia="Times New Roman"/>
                <w:sz w:val="17"/>
              </w:rPr>
              <w:t>Placement and service updates</w:t>
            </w:r>
          </w:p>
        </w:tc>
      </w:tr>
      <w:tr>
        <w:tc>
          <w:tcPr>
            <w:tcW w:type="dxa" w:w="2469"/>
            <w:tcMar>
              <w:top w:w="70" w:type="dxa"/>
              <w:start w:w="90" w:type="dxa"/>
              <w:bottom w:w="70" w:type="dxa"/>
              <w:end w:w="90" w:type="dxa"/>
            </w:tcMar>
          </w:tcPr>
          <w:p>
            <w:r>
              <w:rPr>
                <w:rFonts w:ascii="Times New Roman" w:hAnsi="Times New Roman" w:eastAsia="Times New Roman"/>
                <w:sz w:val="17"/>
              </w:rPr>
              <w:t>Observed interaction</w:t>
            </w:r>
          </w:p>
        </w:tc>
        <w:tc>
          <w:tcPr>
            <w:tcW w:type="dxa" w:w="2469"/>
            <w:tcMar>
              <w:top w:w="70" w:type="dxa"/>
              <w:start w:w="90" w:type="dxa"/>
              <w:bottom w:w="70" w:type="dxa"/>
              <w:end w:w="90" w:type="dxa"/>
            </w:tcMar>
          </w:tcPr>
          <w:p>
            <w:r>
              <w:rPr>
                <w:rFonts w:ascii="Times New Roman" w:hAnsi="Times New Roman" w:eastAsia="Times New Roman"/>
                <w:sz w:val="17"/>
              </w:rPr>
              <w:t>Not primary</w:t>
            </w:r>
          </w:p>
        </w:tc>
        <w:tc>
          <w:tcPr>
            <w:tcW w:type="dxa" w:w="2469"/>
            <w:tcMar>
              <w:top w:w="70" w:type="dxa"/>
              <w:start w:w="90" w:type="dxa"/>
              <w:bottom w:w="70" w:type="dxa"/>
              <w:end w:w="90" w:type="dxa"/>
            </w:tcMar>
          </w:tcPr>
          <w:p>
            <w:r>
              <w:rPr>
                <w:rFonts w:ascii="Times New Roman" w:hAnsi="Times New Roman" w:eastAsia="Times New Roman"/>
                <w:sz w:val="17"/>
              </w:rPr>
              <w:t>Free play and mild frustration/comfort-seeking task; caregiver sensitivity coding</w:t>
            </w:r>
          </w:p>
        </w:tc>
        <w:tc>
          <w:tcPr>
            <w:tcW w:type="dxa" w:w="2469"/>
            <w:tcMar>
              <w:top w:w="70" w:type="dxa"/>
              <w:start w:w="90" w:type="dxa"/>
              <w:bottom w:w="70" w:type="dxa"/>
              <w:end w:w="90" w:type="dxa"/>
            </w:tcMar>
          </w:tcPr>
          <w:p>
            <w:r>
              <w:rPr>
                <w:rFonts w:ascii="Times New Roman" w:hAnsi="Times New Roman" w:eastAsia="Times New Roman"/>
                <w:sz w:val="17"/>
              </w:rPr>
              <w:t>Not primary</w:t>
            </w:r>
          </w:p>
        </w:tc>
      </w:tr>
      <w:tr>
        <w:tc>
          <w:tcPr>
            <w:tcW w:type="dxa" w:w="2469"/>
            <w:tcMar>
              <w:top w:w="70" w:type="dxa"/>
              <w:start w:w="90" w:type="dxa"/>
              <w:bottom w:w="70" w:type="dxa"/>
              <w:end w:w="90" w:type="dxa"/>
            </w:tcMar>
          </w:tcPr>
          <w:p>
            <w:r>
              <w:rPr>
                <w:rFonts w:ascii="Times New Roman" w:hAnsi="Times New Roman" w:eastAsia="Times New Roman"/>
                <w:sz w:val="17"/>
              </w:rPr>
              <w:t>Stranger-approach observation</w:t>
            </w:r>
          </w:p>
        </w:tc>
        <w:tc>
          <w:tcPr>
            <w:tcW w:type="dxa" w:w="2469"/>
            <w:tcMar>
              <w:top w:w="70" w:type="dxa"/>
              <w:start w:w="90" w:type="dxa"/>
              <w:bottom w:w="70" w:type="dxa"/>
              <w:end w:w="90" w:type="dxa"/>
            </w:tcMar>
          </w:tcPr>
          <w:p>
            <w:r>
              <w:rPr>
                <w:rFonts w:ascii="Times New Roman" w:hAnsi="Times New Roman" w:eastAsia="Times New Roman"/>
                <w:sz w:val="17"/>
              </w:rPr>
              <w:t>Baseline where ethically appropriate</w:t>
            </w:r>
          </w:p>
        </w:tc>
        <w:tc>
          <w:tcPr>
            <w:tcW w:type="dxa" w:w="2469"/>
            <w:tcMar>
              <w:top w:w="70" w:type="dxa"/>
              <w:start w:w="90" w:type="dxa"/>
              <w:bottom w:w="70" w:type="dxa"/>
              <w:end w:w="90" w:type="dxa"/>
            </w:tcMar>
          </w:tcPr>
          <w:p>
            <w:r>
              <w:rPr>
                <w:rFonts w:ascii="Times New Roman" w:hAnsi="Times New Roman" w:eastAsia="Times New Roman"/>
                <w:sz w:val="17"/>
              </w:rPr>
              <w:t>Optional validation</w:t>
            </w:r>
          </w:p>
        </w:tc>
        <w:tc>
          <w:tcPr>
            <w:tcW w:type="dxa" w:w="2469"/>
            <w:tcMar>
              <w:top w:w="70" w:type="dxa"/>
              <w:start w:w="90" w:type="dxa"/>
              <w:bottom w:w="70" w:type="dxa"/>
              <w:end w:w="90" w:type="dxa"/>
            </w:tcMar>
          </w:tcPr>
          <w:p>
            <w:r>
              <w:rPr>
                <w:rFonts w:ascii="Times New Roman" w:hAnsi="Times New Roman" w:eastAsia="Times New Roman"/>
                <w:sz w:val="17"/>
              </w:rPr>
              <w:t>Outcome validation where ethically appropriate</w:t>
            </w:r>
          </w:p>
        </w:tc>
      </w:tr>
    </w:tbl>
    <w:p>
      <w:pPr>
        <w:pStyle w:val="Heading1"/>
      </w:pPr>
      <w:r>
        <w:t>2. General response anchors</w:t>
      </w:r>
    </w:p>
    <w:p>
      <w:pPr>
        <w:pStyle w:val="ListBullet"/>
        <w:ind w:left="360" w:hanging="216"/>
      </w:pPr>
      <w:r>
        <w:rPr>
          <w:rFonts w:ascii="Times New Roman" w:hAnsi="Times New Roman" w:eastAsia="Times New Roman"/>
        </w:rPr>
        <w:t>Agreement/frequency questionnaire items: 1 = Never or not at all true, 2 = Rarely, 3 = Sometimes, 4 = Often, 5 = Almost always or very true, unless another response format is shown.</w:t>
      </w:r>
    </w:p>
    <w:p>
      <w:pPr>
        <w:pStyle w:val="ListBullet"/>
        <w:ind w:left="360" w:hanging="216"/>
      </w:pPr>
      <w:r>
        <w:rPr>
          <w:rFonts w:ascii="Times New Roman" w:hAnsi="Times New Roman" w:eastAsia="Times New Roman"/>
        </w:rPr>
        <w:t>RAD/DSED interview items: 0 = symptom absent, 1 = occasional or mild, 2 = persistent or clearly present. Higher totals indicate more symptoms.</w:t>
      </w:r>
    </w:p>
    <w:p>
      <w:pPr>
        <w:pStyle w:val="ListBullet"/>
        <w:ind w:left="360" w:hanging="216"/>
      </w:pPr>
      <w:r>
        <w:rPr>
          <w:rFonts w:ascii="Times New Roman" w:hAnsi="Times New Roman" w:eastAsia="Times New Roman"/>
        </w:rPr>
        <w:t>Observed caregiver sensitivity domains: 1 = very low, 2 = low, 3 = mixed/adequate, 4 = high, 5 = consistently high.</w:t>
      </w:r>
    </w:p>
    <w:p>
      <w:pPr>
        <w:pStyle w:val="ListBullet"/>
        <w:ind w:left="360" w:hanging="216"/>
      </w:pPr>
      <w:r>
        <w:rPr>
          <w:rFonts w:ascii="Times New Roman" w:hAnsi="Times New Roman" w:eastAsia="Times New Roman"/>
        </w:rPr>
        <w:t>Items and domains were scored only when the relevant interaction or caregiving context could be observed reliably.</w:t>
      </w:r>
    </w:p>
    <w:p>
      <w:r>
        <w:br w:type="page"/>
      </w:r>
    </w:p>
    <w:p>
      <w:pPr>
        <w:pStyle w:val="Heading1"/>
      </w:pPr>
      <w:r>
        <w:t>3. Study-developed care-context and placement-history form (T1)</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Current care context: institutional care / family-like group care / formal foster care / kinship care / low-SES community family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and 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Child date of birth and age at assessment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Date and age at first entry into the current care arrangement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Total duration in alternative care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Number of placement moves since first separation from the birth family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Number of caregiver changes during the past six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Records/caregiver</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CP7</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Primary reason for placement, recorded only when ethically and legally available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 broad categories only</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CP8</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Child disability or developmental condition documented: no / yes / unknown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Records/caregiver</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CP9</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Rural/urban location and study region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Records</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CP10</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education and household/institutional socioeconomic resources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Caregiver/site record</w:t>
            </w:r>
          </w:p>
        </w:tc>
      </w:tr>
    </w:tbl>
    <w:p>
      <w:r>
        <w:rPr>
          <w:rFonts w:ascii="Times New Roman" w:hAnsi="Times New Roman" w:eastAsia="Times New Roman"/>
          <w:b/>
        </w:rPr>
        <w:t xml:space="preserve">Response/scoring: </w:t>
      </w:r>
      <w:r>
        <w:rPr>
          <w:rFonts w:ascii="Times New Roman" w:hAnsi="Times New Roman" w:eastAsia="Times New Roman"/>
        </w:rPr>
        <w:t>Record factual values or select the applicable category. The absence of recorded adversity must be coded as unknown rather than evidence that adversity did not occur.</w:t>
      </w:r>
    </w:p>
    <w:p>
      <w:pPr>
        <w:pStyle w:val="Heading1"/>
      </w:pPr>
      <w:r>
        <w:t>4. Pre-placement adversity abstraction form (T1)</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Documented physical neglect or inadequate supervision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 = not documented; 1 = possible/uncertain; 2 = clearly documented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Documented emotional neglect or prolonged absence of responsive caregiving</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Documented physical abuse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Documented exposure to domestic or community violence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Parental death, disappearance, imprisonment, severe illness, or incapacity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Severe material deprivation or homelessness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PA7</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Repeated separation, abandonment, or disrupted caregiving before the current placement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bl>
    <w:p>
      <w:r>
        <w:rPr>
          <w:rFonts w:ascii="Times New Roman" w:hAnsi="Times New Roman" w:eastAsia="Times New Roman"/>
          <w:b/>
        </w:rPr>
        <w:t xml:space="preserve">Response/scoring: </w:t>
      </w:r>
      <w:r>
        <w:rPr>
          <w:rFonts w:ascii="Times New Roman" w:hAnsi="Times New Roman" w:eastAsia="Times New Roman"/>
        </w:rPr>
        <w:t>Sum only documented indicators according to the approved coding manual. Missing or unavailable records remain missing and are not scored as zero.</w:t>
      </w:r>
    </w:p>
    <w:p>
      <w:pPr>
        <w:pStyle w:val="Heading1"/>
      </w:pPr>
      <w:r>
        <w:t>5. Caregiver continuity questionnaire and record indicators (T2)</w:t>
      </w:r>
    </w:p>
    <w:p>
      <w:pPr>
        <w:pStyle w:val="Heading2"/>
      </w:pPr>
      <w:r>
        <w:t>5.1 Record-based indicators</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Number of adults serving as primary caregivers during the past month</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Administrative record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Number of caregiver changes during the past six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Administrative record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Number of placement moves during the past six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Administrative record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Average weekly hours spent with the main caregiver</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Record/caregiver estimate</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Staff turnover rate in the child's unit during the past six months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Site record; institutional/group care</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 formally assigned key caregiver is present: no / yes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Site record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CC-R7</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same caregiver is usually available at bedtime, during illness, and after distress: no / partly / yes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Record/caregiver</w:t>
            </w:r>
          </w:p>
        </w:tc>
      </w:tr>
    </w:tbl>
    <w:p>
      <w:r>
        <w:rPr>
          <w:rFonts w:ascii="Times New Roman" w:hAnsi="Times New Roman" w:eastAsia="Times New Roman"/>
          <w:b/>
        </w:rPr>
        <w:t xml:space="preserve">Response/scoring: </w:t>
      </w:r>
      <w:r>
        <w:rPr>
          <w:rFonts w:ascii="Times New Roman" w:hAnsi="Times New Roman" w:eastAsia="Times New Roman"/>
        </w:rPr>
        <w:t>Indicators were standardized before combination. Values were oriented so that higher scores represented greater continuity.</w:t>
      </w:r>
    </w:p>
    <w:p>
      <w:pPr>
        <w:pStyle w:val="Heading2"/>
      </w:pPr>
      <w:r>
        <w:t>5.2 Caregiver-report continuity items</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CC-Q1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has one adult whom the child clearly prefers when upset or in need of help.</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report</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CC-Q2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same familiar adult is usually available when the child becomes distressed.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report</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CC-Q3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Daily caregiving routines are predictable for this child.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report</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CC-Q4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knows who will care for them across ordinary daily transitions.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report</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CC-Q5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Unexpected changes in the child's main caregiver are uncommon.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report</w:t>
            </w:r>
          </w:p>
        </w:tc>
      </w:tr>
    </w:tbl>
    <w:p>
      <w:r>
        <w:rPr>
          <w:rFonts w:ascii="Times New Roman" w:hAnsi="Times New Roman" w:eastAsia="Times New Roman"/>
          <w:b/>
        </w:rPr>
        <w:t xml:space="preserve">Response/scoring: </w:t>
      </w:r>
      <w:r>
        <w:rPr>
          <w:rFonts w:ascii="Times New Roman" w:hAnsi="Times New Roman" w:eastAsia="Times New Roman"/>
        </w:rPr>
        <w:t>1 = Never/not true to 5 = Almost always/very true. Higher scores indicate greater continuity.</w:t>
      </w:r>
    </w:p>
    <w:p>
      <w:r>
        <w:br w:type="page"/>
      </w:r>
    </w:p>
    <w:p>
      <w:pPr>
        <w:pStyle w:val="Heading1"/>
      </w:pPr>
      <w:r>
        <w:t>6. Caregiver sensitivity observation schedule (T2)</w:t>
      </w:r>
    </w:p>
    <w:p>
      <w:r>
        <w:t>The study-developed observation protocol included a brief free-play episode and a mild frustration or comfort-seeking episode. The task was designed to elicit ordinary caregiving responses without exposing children to undue distress. Each domain was rated from 1 to 5 by trained coders who were blind to the primary outcome scores whenever feasible.</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Promptness: speed and appropriateness of response after a clear child signal</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consistently delayed/absent; 3 = mixed; 5 = prompt and well-timed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Warmth: affectionate tone, positive regard, and emotional availability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cold/negative; 3 = neutral/mixed; 5 = consistently warm</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Accurate interpretation: caregiver identifies the child's likely need or emotion correctly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frequently misreads; 3 = partly accurate; 5 = consistently accurate</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Non-intrusiveness: support is offered without controlling, overwhelming, or interrupting the child unnecessarily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highly intrusive/withdrawn; 3 = mixed; 5 = well calibrated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Affective attunement: caregiver matches and helps regulate the child's emotional state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poorly attuned; 3 = intermittent; 5 = consistently attuned</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CS-O6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Support for exploration: caregiver provides a secure base while allowing age-appropriate autonomy</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 = restricts/ignores; 3 = adequate; 5 = consistently supportive</w:t>
            </w:r>
          </w:p>
        </w:tc>
      </w:tr>
    </w:tbl>
    <w:p>
      <w:r>
        <w:rPr>
          <w:rFonts w:ascii="Times New Roman" w:hAnsi="Times New Roman" w:eastAsia="Times New Roman"/>
          <w:b/>
        </w:rPr>
        <w:t xml:space="preserve">Response/scoring: </w:t>
      </w:r>
      <w:r>
        <w:rPr>
          <w:rFonts w:ascii="Times New Roman" w:hAnsi="Times New Roman" w:eastAsia="Times New Roman"/>
        </w:rPr>
        <w:t>Average the six domain ratings when at least four domains are scorable. Double-code the prespecified reliability subset and calculate the intraclass correlation coefficient.</w:t>
      </w:r>
    </w:p>
    <w:p>
      <w:pPr>
        <w:pStyle w:val="Heading2"/>
      </w:pPr>
      <w:r>
        <w:t>6.1 Episode structure and stopping rules</w:t>
      </w:r>
    </w:p>
    <w:p>
      <w:pPr>
        <w:pStyle w:val="ListBullet"/>
        <w:ind w:left="360" w:hanging="216"/>
      </w:pPr>
      <w:r>
        <w:rPr>
          <w:rFonts w:ascii="Times New Roman" w:hAnsi="Times New Roman" w:eastAsia="Times New Roman"/>
        </w:rPr>
        <w:t>Free play: approximately 5 minutes with age-appropriate toys; caregiver instructed to interact as usual.</w:t>
      </w:r>
    </w:p>
    <w:p>
      <w:pPr>
        <w:pStyle w:val="ListBullet"/>
        <w:ind w:left="360" w:hanging="216"/>
      </w:pPr>
      <w:r>
        <w:rPr>
          <w:rFonts w:ascii="Times New Roman" w:hAnsi="Times New Roman" w:eastAsia="Times New Roman"/>
        </w:rPr>
        <w:t>Mild frustration/comfort-seeking episode: approximately 2-3 minutes using a developmentally appropriate, low-intensity challenge or brief interruption of access to a desired toy.</w:t>
      </w:r>
    </w:p>
    <w:p>
      <w:pPr>
        <w:pStyle w:val="ListBullet"/>
        <w:ind w:left="360" w:hanging="216"/>
      </w:pPr>
      <w:r>
        <w:rPr>
          <w:rFonts w:ascii="Times New Roman" w:hAnsi="Times New Roman" w:eastAsia="Times New Roman"/>
        </w:rPr>
        <w:t>The caregiver could comfort the child at any time. The episode stopped immediately if the child showed sustained distress, freezing, panic, or a clear wish to stop.</w:t>
      </w:r>
    </w:p>
    <w:p>
      <w:pPr>
        <w:pStyle w:val="ListBullet"/>
        <w:ind w:left="360" w:hanging="216"/>
      </w:pPr>
      <w:r>
        <w:rPr>
          <w:rFonts w:ascii="Times New Roman" w:hAnsi="Times New Roman" w:eastAsia="Times New Roman"/>
        </w:rPr>
        <w:t>Coders recorded protocol deviations, task duration, visibility of child and caregiver behavior, and whether a domain was not scorable.</w:t>
      </w:r>
    </w:p>
    <w:p>
      <w:pPr>
        <w:pStyle w:val="Heading1"/>
      </w:pPr>
      <w:r>
        <w:t>7. Adapted caregiver interview for RAD and DSED symptoms (T1 and T3)</w:t>
      </w:r>
    </w:p>
    <w:p>
      <w:r>
        <w:t>The interview domains were adapted from the Disturbances of Attachment Interview and relevant clinical guidance (Smyke et al., 2002; Zeanah &amp; Gleason, 2015). The prompts below are an English-language item map, not a clinical diagnostic interview. The study reports symptom scores rather than diagnoses.</w:t>
      </w:r>
    </w:p>
    <w:p>
      <w:pPr>
        <w:pStyle w:val="Heading2"/>
      </w:pPr>
      <w:r>
        <w:t>7.1 RAD symptom items</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RAD1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rarely or inconsistently seeks comfort from a familiar caregiver when distressed.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RAD2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shows little response to comfort offered by a familiar caregiver.</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RAD3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shows limited preference for a specific familiar caregiver over other available adults.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RAD4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is emotionally withdrawn or minimally responsive during ordinary interaction with familiar caregivers.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RAD5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shows limited positive affect or social reciprocity with familiar caregivers.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bl>
    <w:p>
      <w:r>
        <w:rPr>
          <w:rFonts w:ascii="Times New Roman" w:hAnsi="Times New Roman" w:eastAsia="Times New Roman"/>
          <w:b/>
        </w:rPr>
        <w:t xml:space="preserve">Response/scoring: </w:t>
      </w:r>
      <w:r>
        <w:rPr>
          <w:rFonts w:ascii="Times New Roman" w:hAnsi="Times New Roman" w:eastAsia="Times New Roman"/>
        </w:rPr>
        <w:t>Sum five items for a 0-10 symptom score. Higher scores indicate more RAD symptoms.</w:t>
      </w:r>
    </w:p>
    <w:p>
      <w:pPr>
        <w:pStyle w:val="Heading2"/>
      </w:pPr>
      <w:r>
        <w:t>7.2 DSED symptom items</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DSED1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approaches unfamiliar adults with unusually little hesitation.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DSED2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uses overly familiar verbal or physical behavior with unfamiliar adults.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DSED3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checks back with the familiar caregiver less than expected after moving away in an unfamiliar setting.</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interview/observation;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DSED4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appears willing to leave a safe setting with an unfamiliar adult with little or no hesitation.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interview/ethical observation; 0-2</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DSED5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shows little differentiation between familiar caregivers and unfamiliar adults in social approach.</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Caregiver interview; 0-2</w:t>
            </w:r>
          </w:p>
        </w:tc>
      </w:tr>
    </w:tbl>
    <w:p>
      <w:r>
        <w:rPr>
          <w:rFonts w:ascii="Times New Roman" w:hAnsi="Times New Roman" w:eastAsia="Times New Roman"/>
          <w:b/>
        </w:rPr>
        <w:t xml:space="preserve">Response/scoring: </w:t>
      </w:r>
      <w:r>
        <w:rPr>
          <w:rFonts w:ascii="Times New Roman" w:hAnsi="Times New Roman" w:eastAsia="Times New Roman"/>
        </w:rPr>
        <w:t>Sum five items for a 0-10 symptom score. Higher scores indicate more DSED symptoms.</w:t>
      </w:r>
    </w:p>
    <w:p>
      <w:pPr>
        <w:pStyle w:val="Heading1"/>
      </w:pPr>
      <w:r>
        <w:t>8. Stranger-approach observation checklist</w:t>
      </w:r>
    </w:p>
    <w:tbl>
      <w:tblPr>
        <w:tblW w:type="auto" w:w="0"/>
        <w:jc w:val="center"/>
        <w:tblLayout w:type="autofit"/>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9878"/>
      </w:tblGrid>
      <w:tr>
        <w:tc>
          <w:tcPr>
            <w:tcW w:type="dxa" w:w="9878"/>
            <w:shd w:fill="D9EAF7"/>
            <w:tcMar>
              <w:top w:w="85" w:type="dxa"/>
              <w:start w:w="110" w:type="dxa"/>
              <w:bottom w:w="85" w:type="dxa"/>
              <w:end w:w="110" w:type="dxa"/>
            </w:tcMar>
          </w:tcPr>
          <w:p>
            <w:r>
              <w:rPr>
                <w:rFonts w:ascii="Times New Roman" w:hAnsi="Times New Roman" w:eastAsia="Times New Roman"/>
                <w:b/>
                <w:sz w:val="21"/>
              </w:rPr>
              <w:t>Safety limitation</w:t>
            </w:r>
          </w:p>
        </w:tc>
      </w:tr>
      <w:tr>
        <w:tc>
          <w:tcPr>
            <w:tcW w:type="dxa" w:w="9878"/>
            <w:tcMar>
              <w:top w:w="85" w:type="dxa"/>
              <w:start w:w="110" w:type="dxa"/>
              <w:bottom w:w="85" w:type="dxa"/>
              <w:end w:w="110" w:type="dxa"/>
            </w:tcMar>
          </w:tcPr>
          <w:p>
            <w:r>
              <w:rPr>
                <w:rFonts w:ascii="Times New Roman" w:hAnsi="Times New Roman" w:eastAsia="Times New Roman"/>
                <w:sz w:val="20"/>
              </w:rPr>
              <w:t>The task assessed social approach only under close supervision. The unfamiliar adult never removed the child from the observation area, and no task was conducted when the research team or caregiver judged it unsuitable.</w:t>
            </w:r>
          </w:p>
        </w:tc>
      </w:tr>
    </w:tbl>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cantSplit/>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Latency before approaching the unfamiliar adult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Record seconds or protocol category</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Reticence or checking behavior before approach</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 = age-appropriate; 1 = reduced; 2 = markedly reduced</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Overly familiar verbal behavior</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Overly familiar physical proximity or contact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0-2</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Checks back visually or physically with the familiar caregiver</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 = frequent/appropriate; 1 = limited; 2 = absent</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Behavior in response to an invitation to move a short distance within the safe observation area</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0 = refuses/checks; 1 = hesitant; 2 = readily follows</w:t>
            </w:r>
          </w:p>
        </w:tc>
      </w:tr>
      <w:tr>
        <w:trPr>
          <w:cantSplit/>
        </w:trP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SA7</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Protocol deviation, distress, or early termination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No / yes; describe without identifiers</w:t>
            </w:r>
          </w:p>
        </w:tc>
      </w:tr>
    </w:tbl>
    <w:p>
      <w:r>
        <w:rPr>
          <w:rFonts w:ascii="Times New Roman" w:hAnsi="Times New Roman" w:eastAsia="Times New Roman"/>
          <w:b/>
        </w:rPr>
        <w:t xml:space="preserve">Response/scoring: </w:t>
      </w:r>
      <w:r>
        <w:rPr>
          <w:rFonts w:ascii="Times New Roman" w:hAnsi="Times New Roman" w:eastAsia="Times New Roman"/>
        </w:rPr>
        <w:t>Use for convergent validation only. Do not interpret the observation as a stand-alone diagnosis.</w:t>
      </w:r>
    </w:p>
    <w:p>
      <w:pPr>
        <w:pStyle w:val="Heading1"/>
      </w:pPr>
      <w:r>
        <w:t>9. Temperament caregiver form (T1)</w:t>
      </w:r>
    </w:p>
    <w:p>
      <w:r>
        <w:t>Items were adapted and paraphrased from age-appropriate Early Childhood Behavior Questionnaire and Children's Behavior Questionnaire dimensions (Putnam et al., 2006; Rothbart et al., 2001). Caregivers rated the child's typical behavior during the preceding six months.</w:t>
      </w:r>
    </w:p>
    <w:p>
      <w:pPr>
        <w:pStyle w:val="Heading2"/>
      </w:pPr>
      <w:r>
        <w:t>9.1 Negative emotionality/frustration</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becomes upset quickly when an activity is interrupted.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reacts strongly when unable to obtain something desired.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remains distressed for a long time after becoming upset.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is easily frightened by unfamiliar situations or people.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shows intense anger or frustration during ordinary limits and transitions.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NE6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Small changes in routine often lead to visible distress.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bl>
    <w:p>
      <w:r>
        <w:rPr>
          <w:rFonts w:ascii="Times New Roman" w:hAnsi="Times New Roman" w:eastAsia="Times New Roman"/>
          <w:b/>
        </w:rPr>
        <w:t xml:space="preserve">Response/scoring: </w:t>
      </w:r>
      <w:r>
        <w:rPr>
          <w:rFonts w:ascii="Times New Roman" w:hAnsi="Times New Roman" w:eastAsia="Times New Roman"/>
        </w:rPr>
        <w:t>Mean the items; higher scores indicate greater negative emotionality.</w:t>
      </w:r>
    </w:p>
    <w:p>
      <w:pPr>
        <w:pStyle w:val="Heading2"/>
      </w:pPr>
      <w:r>
        <w:t>9.2 Effortful control</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focus on a quiet activity for an age-appropriate period.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wait briefly when asked.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stop an activity when a familiar caregiver gives a clear instruction.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shift attention from one activity to another without prolonged distress.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EC5</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calm down with ordinary caregiver support.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EC6</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can follow simple rules even when excited.</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bl>
    <w:p>
      <w:r>
        <w:rPr>
          <w:rFonts w:ascii="Times New Roman" w:hAnsi="Times New Roman" w:eastAsia="Times New Roman"/>
          <w:b/>
        </w:rPr>
        <w:t xml:space="preserve">Response/scoring: </w:t>
      </w:r>
      <w:r>
        <w:rPr>
          <w:rFonts w:ascii="Times New Roman" w:hAnsi="Times New Roman" w:eastAsia="Times New Roman"/>
        </w:rPr>
        <w:t>Mean the items; higher scores indicate greater effortful control.</w:t>
      </w:r>
    </w:p>
    <w:p>
      <w:pPr>
        <w:pStyle w:val="Heading2"/>
      </w:pPr>
      <w:r>
        <w:t>9.3 Perceptual sensitivity</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PS1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notices small changes in the room or surroundings.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PS2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notices subtle changes in another person's voice or facial expression.</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PS3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reacts to quiet sounds, textures, or details that others may not notice.</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PS4</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The child quickly detects when a familiar routine is slightly different.</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1-5</w:t>
            </w:r>
          </w:p>
        </w:tc>
      </w:tr>
    </w:tbl>
    <w:p>
      <w:r>
        <w:rPr>
          <w:rFonts w:ascii="Times New Roman" w:hAnsi="Times New Roman" w:eastAsia="Times New Roman"/>
          <w:b/>
        </w:rPr>
        <w:t xml:space="preserve">Response/scoring: </w:t>
      </w:r>
      <w:r>
        <w:rPr>
          <w:rFonts w:ascii="Times New Roman" w:hAnsi="Times New Roman" w:eastAsia="Times New Roman"/>
        </w:rPr>
        <w:t>Mean the items; higher scores indicate greater perceptual sensitivity.</w:t>
      </w:r>
    </w:p>
    <w:p>
      <w:r>
        <w:br w:type="page"/>
      </w:r>
    </w:p>
    <w:p>
      <w:pPr>
        <w:pStyle w:val="Heading1"/>
      </w:pPr>
      <w:r>
        <w:t>10. Published secondary measures</w:t>
      </w:r>
    </w:p>
    <w:p>
      <w:r>
        <w:t>The following previously published measures were identified and cited in the manuscript. Their official or licensed wording is not reproduced here. The study-specific administration record should identify the language version, translation procedure, respondent, wave, and scoring rule actually used.</w:t>
      </w:r>
    </w:p>
    <w:tbl>
      <w:tblPr>
        <w:tblStyle w:val="TableGrid"/>
        <w:tblW w:type="auto" w:w="0"/>
        <w:jc w:val="center"/>
        <w:tblLayout w:type="autofit"/>
        <w:tblLook w:firstColumn="1" w:firstRow="1" w:lastColumn="0" w:lastRow="0" w:noHBand="0" w:noVBand="1" w:val="04A0"/>
      </w:tblPr>
      <w:tblGrid>
        <w:gridCol w:w="3293"/>
        <w:gridCol w:w="3293"/>
        <w:gridCol w:w="3293"/>
      </w:tblGrid>
      <w:tr>
        <w:trPr>
          <w:tblHeader w:val="true"/>
        </w:trPr>
        <w:tc>
          <w:tcPr>
            <w:tcW w:type="dxa" w:w="3293"/>
            <w:shd w:fill="D9E1F2"/>
            <w:tcMar>
              <w:top w:w="70" w:type="dxa"/>
              <w:start w:w="90" w:type="dxa"/>
              <w:bottom w:w="70" w:type="dxa"/>
              <w:end w:w="90" w:type="dxa"/>
            </w:tcMar>
            <w:vAlign w:val="center"/>
          </w:tcPr>
          <w:p>
            <w:r>
              <w:rPr>
                <w:rFonts w:ascii="Times New Roman" w:hAnsi="Times New Roman" w:eastAsia="Times New Roman"/>
                <w:b/>
                <w:sz w:val="19"/>
              </w:rPr>
              <w:t>Code</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Item / field</w:t>
            </w:r>
          </w:p>
        </w:tc>
        <w:tc>
          <w:tcPr>
            <w:tcW w:type="dxa" w:w="3293"/>
            <w:shd w:fill="D9E1F2"/>
            <w:tcMar>
              <w:top w:w="70" w:type="dxa"/>
              <w:start w:w="90" w:type="dxa"/>
              <w:bottom w:w="70" w:type="dxa"/>
              <w:end w:w="90" w:type="dxa"/>
            </w:tcMar>
            <w:vAlign w:val="center"/>
          </w:tcPr>
          <w:p>
            <w:r>
              <w:rPr>
                <w:rFonts w:ascii="Times New Roman" w:hAnsi="Times New Roman" w:eastAsia="Times New Roman"/>
                <w:b/>
                <w:sz w:val="19"/>
              </w:rPr>
              <w:t>Administration</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PM1</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Disturbances of Attachment Interview domains for RAD and DSED symptoms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Smyke et al. (2002); adapted caregiver interview</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PM2</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Early Childhood Behavior Questionnaire / Children's Behavior Questionnaire temperament dimensions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Putnam et al. (2006); Rothbart et al. (2001)</w:t>
            </w:r>
          </w:p>
        </w:tc>
      </w:tr>
      <w:tr>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PM3</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Strengths and Difficulties Questionnaire for secondary emotional, conduct, peer, and prosocial outcomes</w:t>
            </w:r>
          </w:p>
        </w:tc>
        <w:tc>
          <w:tcPr>
            <w:tcW w:type="dxa" w:w="3293"/>
            <w:tcMar>
              <w:top w:w="70" w:type="dxa"/>
              <w:start w:w="90" w:type="dxa"/>
              <w:bottom w:w="70" w:type="dxa"/>
              <w:end w:w="90" w:type="dxa"/>
            </w:tcMar>
            <w:vAlign w:val="top"/>
          </w:tcPr>
          <w:p>
            <w:pPr>
              <w:spacing w:after="0"/>
            </w:pPr>
            <w:r>
              <w:rPr>
                <w:rFonts w:ascii="Times New Roman" w:hAnsi="Times New Roman" w:eastAsia="Times New Roman"/>
                <w:sz w:val="18"/>
              </w:rPr>
              <w:t>Goodman (1997)</w:t>
            </w:r>
          </w:p>
        </w:tc>
      </w:tr>
    </w:tbl>
    <w:p>
      <w:r>
        <w:rPr>
          <w:rFonts w:ascii="Times New Roman" w:hAnsi="Times New Roman" w:eastAsia="Times New Roman"/>
          <w:b/>
        </w:rPr>
        <w:t xml:space="preserve">Response/scoring: </w:t>
      </w:r>
      <w:r>
        <w:rPr>
          <w:rFonts w:ascii="Times New Roman" w:hAnsi="Times New Roman" w:eastAsia="Times New Roman"/>
        </w:rPr>
        <w:t>Use the validated or authorized version and the scoring rules documented in the study protocol.</w:t>
      </w:r>
    </w:p>
    <w:p>
      <w:pPr>
        <w:pStyle w:val="Heading1"/>
      </w:pPr>
      <w:r>
        <w:t>11. Scoring and data-quality rules</w:t>
      </w:r>
    </w:p>
    <w:p>
      <w:pPr>
        <w:pStyle w:val="ListNumber"/>
        <w:ind w:left="403" w:hanging="259"/>
      </w:pPr>
      <w:r>
        <w:rPr>
          <w:rFonts w:ascii="Times New Roman" w:hAnsi="Times New Roman" w:eastAsia="Times New Roman"/>
        </w:rPr>
        <w:t>Caregiver continuity: standardize the record-based and caregiver-report indicators, reverse instability indicators, and combine them so that higher values indicate greater continuity. Retain component indicators for sensitivity analyses.</w:t>
      </w:r>
    </w:p>
    <w:p>
      <w:pPr>
        <w:pStyle w:val="ListNumber"/>
        <w:ind w:left="403" w:hanging="259"/>
      </w:pPr>
      <w:r>
        <w:rPr>
          <w:rFonts w:ascii="Times New Roman" w:hAnsi="Times New Roman" w:eastAsia="Times New Roman"/>
        </w:rPr>
        <w:t>Caregiver sensitivity: average scorable domain ratings. Report inter-rater reliability from the double-coded subset and repeat analyses excluding recordings with major protocol deviations.</w:t>
      </w:r>
    </w:p>
    <w:p>
      <w:pPr>
        <w:pStyle w:val="ListNumber"/>
        <w:ind w:left="403" w:hanging="259"/>
      </w:pPr>
      <w:r>
        <w:rPr>
          <w:rFonts w:ascii="Times New Roman" w:hAnsi="Times New Roman" w:eastAsia="Times New Roman"/>
        </w:rPr>
        <w:t>RAD and DSED: compute separate symptom scores. Do not combine the two disorders into one total and do not label scores as clinical diagnoses.</w:t>
      </w:r>
    </w:p>
    <w:p>
      <w:pPr>
        <w:pStyle w:val="ListNumber"/>
        <w:ind w:left="403" w:hanging="259"/>
      </w:pPr>
      <w:r>
        <w:rPr>
          <w:rFonts w:ascii="Times New Roman" w:hAnsi="Times New Roman" w:eastAsia="Times New Roman"/>
        </w:rPr>
        <w:t>Temperament: calculate dimension means after applying any source-measure reverse scoring documented in the original protocol. Negative emotionality and effortful control are the primary moderators.</w:t>
      </w:r>
    </w:p>
    <w:p>
      <w:pPr>
        <w:pStyle w:val="ListNumber"/>
        <w:ind w:left="403" w:hanging="259"/>
      </w:pPr>
      <w:r>
        <w:rPr>
          <w:rFonts w:ascii="Times New Roman" w:hAnsi="Times New Roman" w:eastAsia="Times New Roman"/>
        </w:rPr>
        <w:t>Missing data: do not replace unavailable child-welfare records with zero. Preserve distinctions among absent, unknown, not applicable, and not assessed.</w:t>
      </w:r>
    </w:p>
    <w:p>
      <w:pPr>
        <w:pStyle w:val="ListNumber"/>
        <w:ind w:left="403" w:hanging="259"/>
      </w:pPr>
      <w:r>
        <w:rPr>
          <w:rFonts w:ascii="Times New Roman" w:hAnsi="Times New Roman" w:eastAsia="Times New Roman"/>
        </w:rPr>
        <w:t>Translation: retain the forward translation, back-translation, specialist review, pilot-testing record, and the final approved Chinese wording with the study archive.</w:t>
      </w:r>
    </w:p>
    <w:p>
      <w:pPr>
        <w:pStyle w:val="ListNumber"/>
        <w:ind w:left="403" w:hanging="259"/>
      </w:pPr>
      <w:r>
        <w:rPr>
          <w:rFonts w:ascii="Times New Roman" w:hAnsi="Times New Roman" w:eastAsia="Times New Roman"/>
        </w:rPr>
        <w:t>Confidentiality: exclude names of institutions, local sites, children, caregivers, and case identifiers from the research dataset and supplementary materials.</w:t>
      </w:r>
    </w:p>
    <w:p>
      <w:pPr>
        <w:pStyle w:val="Heading1"/>
      </w:pPr>
      <w:r>
        <w:t>12. Source references</w:t>
      </w:r>
    </w:p>
    <w:p>
      <w:pPr>
        <w:spacing w:after="60"/>
        <w:ind w:left="432" w:hanging="432"/>
      </w:pPr>
      <w:r>
        <w:t>Goodman, R. (1997). The Strengths and Difficulties Questionnaire: A research note. Journal of Child Psychology and Psychiatry, 38(5), 581-586.</w:t>
      </w:r>
    </w:p>
    <w:p>
      <w:pPr>
        <w:spacing w:after="60"/>
        <w:ind w:left="432" w:hanging="432"/>
      </w:pPr>
      <w:r>
        <w:t>Putnam, S. P., Gartstein, M. A., &amp; Rothbart, M. K. (2006). Measurement of fine-grained aspects of toddler temperament: The Early Childhood Behavior Questionnaire. Infant Behavior and Development, 29(3), 386-401.</w:t>
      </w:r>
    </w:p>
    <w:p>
      <w:pPr>
        <w:spacing w:after="60"/>
        <w:ind w:left="432" w:hanging="432"/>
      </w:pPr>
      <w:r>
        <w:t>Rothbart, M. K., Ahadi, S. A., Hershey, K. L., &amp; Fisher, P. (2001). Investigations of temperament at three to seven years: The Children's Behavior Questionnaire. Child Development, 72(5), 1394-1408.</w:t>
      </w:r>
    </w:p>
    <w:p>
      <w:pPr>
        <w:spacing w:after="60"/>
        <w:ind w:left="432" w:hanging="432"/>
      </w:pPr>
      <w:r>
        <w:t>Smyke, A. T., Dumitrescu, A., &amp; Zeanah, C. H. (2002). Attachment disturbances in young children. I: The continuum of caretaking casualty. Journal of the American Academy of Child &amp; Adolescent Psychiatry, 41(8), 972-982.</w:t>
      </w:r>
    </w:p>
    <w:p>
      <w:pPr>
        <w:spacing w:after="60"/>
        <w:ind w:left="432" w:hanging="432"/>
      </w:pPr>
      <w:r>
        <w:t>Zeanah, C. H., &amp; Gleason, M. M. (2015). Annual research review: Attachment disorders in early childhood - clinical presentation, causes, correlates, and treatment. Journal of Child Psychology and Psychiatry, 56(3), 207-222.</w:t>
      </w:r>
    </w:p>
    <w:sectPr w:rsidR="00FC693F" w:rsidRPr="0006063C" w:rsidSect="00034616">
      <w:footerReference w:type="default" r:id="rId9"/>
      <w:pgSz w:w="12240" w:h="15840"/>
      <w:pgMar w:top="1123" w:right="1181" w:bottom="1123"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sz w:val="20"/>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4" w:lineRule="auto" w:after="80"/>
    </w:pPr>
    <w:rPr>
      <w:rFonts w:ascii="Times New Roman" w:hAnsi="Times New Roman" w:eastAsia="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Times New Roman" w:hAnsi="Times New Roman" w:eastAsia="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Times New Roman" w:hAnsi="Times New Roman" w:eastAsia="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Times New Roman" w:hAnsi="Times New Roman" w:eastAsia="Times New Roman"/>
      <w:b/>
      <w:bCs/>
      <w:color w:val="00000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160"/>
      <w:contextualSpacing/>
    </w:pPr>
    <w:rPr>
      <w:rFonts w:asciiTheme="majorHAnsi" w:eastAsiaTheme="majorEastAsia" w:hAnsiTheme="majorHAnsi" w:cstheme="majorBidi" w:ascii="Times New Roman" w:hAnsi="Times New Roman" w:eastAsia="Times New Roman"/>
      <w:b/>
      <w:color w:val="000000"/>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