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1DD3CBDC" wp14:paraId="5E5787A5" wp14:textId="3FC0A294">
      <w:pPr>
        <w:rPr>
          <w:rFonts w:ascii="Times New Roman" w:hAnsi="Times New Roman" w:eastAsia="Times New Roman" w:cs="Times New Roman"/>
          <w:b w:val="1"/>
          <w:bCs w:val="1"/>
        </w:rPr>
      </w:pPr>
      <w:r w:rsidRPr="1DD3CBDC" w:rsidR="4807A5B7">
        <w:rPr>
          <w:rFonts w:ascii="Times New Roman" w:hAnsi="Times New Roman" w:eastAsia="Times New Roman" w:cs="Times New Roman"/>
          <w:b w:val="1"/>
          <w:bCs w:val="1"/>
        </w:rPr>
        <w:t xml:space="preserve">GRAPHICAL ABSTRACT </w:t>
      </w:r>
    </w:p>
    <w:p w:rsidR="1DD3CBDC" w:rsidP="1DD3CBDC" w:rsidRDefault="1DD3CBDC" w14:paraId="2A9E0F43" w14:textId="1F8DE1AC">
      <w:pPr>
        <w:rPr>
          <w:rFonts w:ascii="Times New Roman" w:hAnsi="Times New Roman" w:eastAsia="Times New Roman" w:cs="Times New Roman"/>
          <w:b w:val="1"/>
          <w:bCs w:val="1"/>
        </w:rPr>
      </w:pPr>
    </w:p>
    <w:p w:rsidR="68D5DF22" w:rsidP="1DD3CBDC" w:rsidRDefault="68D5DF22" w14:paraId="15ADCD71" w14:textId="7A845E71">
      <w:pPr>
        <w:pStyle w:val="Normal"/>
        <w:rPr>
          <w:rFonts w:ascii="Times New Roman" w:hAnsi="Times New Roman" w:eastAsia="Times New Roman" w:cs="Times New Roman"/>
          <w:b w:val="1"/>
          <w:bCs w:val="1"/>
        </w:rPr>
      </w:pPr>
      <w:r w:rsidR="68D5DF22">
        <w:drawing>
          <wp:inline wp14:editId="2A8D8108" wp14:anchorId="023982DE">
            <wp:extent cx="5724525" cy="3219450"/>
            <wp:effectExtent l="0" t="0" r="0" b="0"/>
            <wp:docPr id="39207765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92077651" name="Picture 392077651"/>
                    <pic:cNvPicPr/>
                  </pic:nvPicPr>
                  <pic:blipFill>
                    <a:blip xmlns:r="http://schemas.openxmlformats.org/officeDocument/2006/relationships" r:embed="rId1388043637">
                      <a:extLst>
                        <a:ext uri="{28A0092B-C50C-407E-A947-70E740481C1C}">
                          <a14:useLocalDpi xmlns:a14="http://schemas.microsoft.com/office/drawing/2010/main"/>
                        </a:ext>
                      </a:extLst>
                    </a:blip>
                    <a:stretch>
                      <a:fillRect/>
                    </a:stretch>
                  </pic:blipFill>
                  <pic:spPr>
                    <a:xfrm>
                      <a:off x="0" y="0"/>
                      <a:ext cx="5724525" cy="3219450"/>
                    </a:xfrm>
                    <a:prstGeom prst="rect">
                      <a:avLst/>
                    </a:prstGeom>
                  </pic:spPr>
                </pic:pic>
              </a:graphicData>
            </a:graphic>
          </wp:inline>
        </w:drawing>
      </w:r>
    </w:p>
    <w:p w:rsidR="68D5DF22" w:rsidP="1DD3CBDC" w:rsidRDefault="68D5DF22" w14:paraId="64D089FA" w14:textId="30DECB44">
      <w:pPr>
        <w:pStyle w:val="Normal"/>
        <w:rPr>
          <w:rFonts w:ascii="Times New Roman" w:hAnsi="Times New Roman" w:eastAsia="Times New Roman" w:cs="Times New Roman"/>
          <w:b w:val="1"/>
          <w:bCs w:val="1"/>
        </w:rPr>
      </w:pPr>
      <w:r w:rsidRPr="1DD3CBDC" w:rsidR="68D5DF22">
        <w:rPr>
          <w:rFonts w:ascii="Times New Roman" w:hAnsi="Times New Roman" w:eastAsia="Times New Roman" w:cs="Times New Roman"/>
          <w:b w:val="1"/>
          <w:bCs w:val="1"/>
        </w:rPr>
        <w:t xml:space="preserve">ABSTRACT </w:t>
      </w:r>
    </w:p>
    <w:p w:rsidR="68D5DF22" w:rsidP="1DD3CBDC" w:rsidRDefault="68D5DF22" w14:paraId="0084BD56" w14:textId="2E5FB973">
      <w:pPr>
        <w:spacing w:after="200" w:afterAutospacing="off" w:line="360" w:lineRule="auto"/>
        <w:jc w:val="both"/>
      </w:pPr>
      <w:r w:rsidRPr="1DD3CBDC" w:rsidR="68D5DF22">
        <w:rPr>
          <w:rFonts w:ascii="Times New Roman" w:hAnsi="Times New Roman" w:eastAsia="Times New Roman" w:cs="Times New Roman"/>
          <w:noProof w:val="0"/>
          <w:sz w:val="24"/>
          <w:szCs w:val="24"/>
          <w:lang w:val="en-US"/>
        </w:rPr>
        <w:t xml:space="preserve">Pancreatic Ductal Adenocarcinoma (PDAC) is one of the most aggressive malignancies characterized by poor prognosis, therapeutic resistance and complex oncogenic signaling network. Emerging studies have identified potential therapeutic utility of phytochemicals against cancer and other diseases such as diabetes, primarily because they do not induce toxic side effects. In the present study, we investigated </w:t>
      </w:r>
      <w:r w:rsidRPr="1DD3CBDC" w:rsidR="68D5DF22">
        <w:rPr>
          <w:rFonts w:ascii="Times New Roman" w:hAnsi="Times New Roman" w:eastAsia="Times New Roman" w:cs="Times New Roman"/>
          <w:i w:val="1"/>
          <w:iCs w:val="1"/>
          <w:noProof w:val="0"/>
          <w:sz w:val="24"/>
          <w:szCs w:val="24"/>
          <w:lang w:val="en-US"/>
        </w:rPr>
        <w:t>Anacardium occidentale</w:t>
      </w:r>
      <w:r w:rsidRPr="1DD3CBDC" w:rsidR="68D5DF22">
        <w:rPr>
          <w:rFonts w:ascii="Times New Roman" w:hAnsi="Times New Roman" w:eastAsia="Times New Roman" w:cs="Times New Roman"/>
          <w:noProof w:val="0"/>
          <w:sz w:val="24"/>
          <w:szCs w:val="24"/>
          <w:lang w:val="en-US"/>
        </w:rPr>
        <w:t xml:space="preserve"> (Cashew nut), against PDAC. A total of 399 compounds were selected from phytochemical databases and sic potent phytochemical (Pulegone, Piperitone, Carvone, Carvacrol, Thymol, and Cuminaldehyde) were identified based on hub target interactions. PDAC-associated genes were retrieved from GeneCards and their interacting targets were selected for downstream analysis. Functional annotation and network pharmacology analysis mapped AKT1, SRC, EGFR, MMP9, STAT3 and IL6 ass key regulatory targets. As observed through molecular docking and dynamic simulation, two monoterpenoids, Carcavrol and thymol, exhibited inhibition against MMP9 and AKT1, key survival genes that regulate cancer cell survival, highlighting their potential efficacy in mitigating PDAC progression. </w:t>
      </w:r>
    </w:p>
    <w:p w:rsidR="68D5DF22" w:rsidP="1DD3CBDC" w:rsidRDefault="68D5DF22" w14:paraId="5352CAC8" w14:textId="38BBE818">
      <w:pPr>
        <w:spacing w:after="200" w:afterAutospacing="off" w:line="360" w:lineRule="auto"/>
        <w:jc w:val="both"/>
      </w:pPr>
      <w:r w:rsidRPr="1DD3CBDC" w:rsidR="68D5DF22">
        <w:rPr>
          <w:rFonts w:ascii="Times New Roman" w:hAnsi="Times New Roman" w:eastAsia="Times New Roman" w:cs="Times New Roman"/>
          <w:b w:val="1"/>
          <w:bCs w:val="1"/>
          <w:noProof w:val="0"/>
          <w:color w:val="000000" w:themeColor="text1" w:themeTint="FF" w:themeShade="FF"/>
          <w:sz w:val="24"/>
          <w:szCs w:val="24"/>
          <w:lang w:val="en"/>
        </w:rPr>
        <w:t>Keywords:</w:t>
      </w:r>
      <w:r w:rsidRPr="1DD3CBDC" w:rsidR="68D5DF22">
        <w:rPr>
          <w:rFonts w:ascii="Times New Roman" w:hAnsi="Times New Roman" w:eastAsia="Times New Roman" w:cs="Times New Roman"/>
          <w:noProof w:val="0"/>
          <w:color w:val="000000" w:themeColor="text1" w:themeTint="FF" w:themeShade="FF"/>
          <w:sz w:val="24"/>
          <w:szCs w:val="24"/>
          <w:lang w:val="en"/>
        </w:rPr>
        <w:t xml:space="preserve"> Pancreatic ductal adenocarcinoma, </w:t>
      </w:r>
      <w:r w:rsidRPr="1DD3CBDC" w:rsidR="68D5DF22">
        <w:rPr>
          <w:rFonts w:ascii="Times New Roman" w:hAnsi="Times New Roman" w:eastAsia="Times New Roman" w:cs="Times New Roman"/>
          <w:i w:val="1"/>
          <w:iCs w:val="1"/>
          <w:noProof w:val="0"/>
          <w:color w:val="000000" w:themeColor="text1" w:themeTint="FF" w:themeShade="FF"/>
          <w:sz w:val="24"/>
          <w:szCs w:val="24"/>
          <w:lang w:val="en"/>
        </w:rPr>
        <w:t>Anacardium occidentale</w:t>
      </w:r>
      <w:r w:rsidRPr="1DD3CBDC" w:rsidR="68D5DF22">
        <w:rPr>
          <w:rFonts w:ascii="Times New Roman" w:hAnsi="Times New Roman" w:eastAsia="Times New Roman" w:cs="Times New Roman"/>
          <w:noProof w:val="0"/>
          <w:color w:val="000000" w:themeColor="text1" w:themeTint="FF" w:themeShade="FF"/>
          <w:sz w:val="24"/>
          <w:szCs w:val="24"/>
          <w:lang w:val="en"/>
        </w:rPr>
        <w:t>, Network pharmacology, Molecular docking, Monoterpenoids, PI3K-Akt signaling, MMP9, AKT1, Carvacrol, Phytochemicals.</w:t>
      </w:r>
    </w:p>
    <w:p w:rsidR="1DD3CBDC" w:rsidP="1DD3CBDC" w:rsidRDefault="1DD3CBDC" w14:paraId="08FEA1E5" w14:textId="38448127">
      <w:pPr>
        <w:pStyle w:val="Normal"/>
        <w:rPr>
          <w:rFonts w:ascii="Times New Roman" w:hAnsi="Times New Roman" w:eastAsia="Times New Roman" w:cs="Times New Roman"/>
          <w:b w:val="1"/>
          <w:bCs w:val="1"/>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A2753E"/>
    <w:rsid w:val="1DD3CBDC"/>
    <w:rsid w:val="1FA2753E"/>
    <w:rsid w:val="4807A5B7"/>
    <w:rsid w:val="4F2A33F2"/>
    <w:rsid w:val="5806CE06"/>
    <w:rsid w:val="68D5D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F19BB"/>
  <w15:chartTrackingRefBased/>
  <w15:docId w15:val="{522482AB-1D72-4FB1-A688-1BEEDC1FB0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138804363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Sadhana Balaji</dc:creator>
  <keywords/>
  <dc:description/>
  <lastModifiedBy>Sadhana Balaji</lastModifiedBy>
  <revision>2</revision>
  <dcterms:created xsi:type="dcterms:W3CDTF">2026-06-27T03:20:03.0506495Z</dcterms:created>
  <dcterms:modified xsi:type="dcterms:W3CDTF">2026-06-27T03:23:49.7732106Z</dcterms:modified>
</coreProperties>
</file>