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Supplementary Materials</w:t>
      </w:r>
    </w:p>
    <w:p>
      <w:pPr>
        <w:spacing w:after="120"/>
        <w:jc w:val="left"/>
      </w:pPr>
      <w:r>
        <w:rPr>
          <w:b/>
          <w:bCs/>
        </w:rPr>
        <w:t xml:space="preserve">EEG Microstate Aggregate Conditional Entropy Derived from Markov Modelling as an AD-Specific Biomarker</w:t>
      </w:r>
      <w:r>
        <w:br/>
      </w:r>
      <w:r>
        <w:t xml:space="preserve">Hassan Farooq, Sargodha Medical College, Sargodha, Pakistan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Table S1. GFP Amplitude Threshold Sensitivity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914"/>
        <w:gridCol w:w="2723"/>
        <w:gridCol w:w="2723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Threshold condition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KW p-value range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AD permutation p</w:t>
            </w:r>
          </w:p>
        </w:tc>
      </w:tr>
      <w:tr>
        <w:tc>
          <w:p>
            <w:pPr>
              <w:jc w:val="left"/>
            </w:pPr>
            <w:r>
              <w:t xml:space="preserve">No threshold (all local maxima)</w:t>
            </w:r>
          </w:p>
        </w:tc>
        <w:tc>
          <w:p>
            <w:pPr>
              <w:jc w:val="left"/>
            </w:pPr>
            <w:r>
              <w:t xml:space="preserve">0.023–0.025</w:t>
            </w:r>
          </w:p>
        </w:tc>
        <w:tc>
          <w:p>
            <w:pPr>
              <w:jc w:val="left"/>
            </w:pPr>
            <w:r>
              <w:t xml:space="preserve">&lt; 0.01</w:t>
            </w:r>
          </w:p>
        </w:tc>
      </w:tr>
      <w:tr>
        <w:tc>
          <w:p>
            <w:pPr>
              <w:jc w:val="left"/>
            </w:pPr>
            <w:r>
              <w:t xml:space="preserve">Mean − 0.5 SD</w:t>
            </w:r>
          </w:p>
        </w:tc>
        <w:tc>
          <w:p>
            <w:pPr>
              <w:jc w:val="left"/>
            </w:pPr>
            <w:r>
              <w:t xml:space="preserve">0.023–0.025</w:t>
            </w:r>
          </w:p>
        </w:tc>
        <w:tc>
          <w:p>
            <w:pPr>
              <w:jc w:val="left"/>
            </w:pPr>
            <w:r>
              <w:t xml:space="preserve">&lt; 0.01</w:t>
            </w:r>
          </w:p>
        </w:tc>
      </w:tr>
      <w:tr>
        <w:tc>
          <w:p>
            <w:pPr>
              <w:jc w:val="left"/>
            </w:pPr>
            <w:r>
              <w:t xml:space="preserve">Mean + 0.5 SD</w:t>
            </w:r>
          </w:p>
        </w:tc>
        <w:tc>
          <w:p>
            <w:pPr>
              <w:jc w:val="left"/>
            </w:pPr>
            <w:r>
              <w:t xml:space="preserve">0.023–0.025</w:t>
            </w:r>
          </w:p>
        </w:tc>
        <w:tc>
          <w:p>
            <w:pPr>
              <w:jc w:val="left"/>
            </w:pPr>
            <w:r>
              <w:t xml:space="preserve">&lt; 0.01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ACE(T) group differences were stable across three GFP peak-detection thresholds, indicating the result is not an artefact of peak-picking sensitivity.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Table S2. Epoch-Length Sensitivity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600"/>
        <w:gridCol w:w="2160"/>
        <w:gridCol w:w="360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Epoch length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KW 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AUC (AD vs HC)</w:t>
            </w:r>
          </w:p>
        </w:tc>
      </w:tr>
      <w:tr>
        <w:tc>
          <w:p>
            <w:pPr>
              <w:jc w:val="left"/>
            </w:pPr>
            <w:r>
              <w:t xml:space="preserve">60 s</w:t>
            </w:r>
          </w:p>
        </w:tc>
        <w:tc>
          <w:p>
            <w:pPr>
              <w:jc w:val="left"/>
            </w:pPr>
            <w:r>
              <w:t xml:space="preserve">0.011</w:t>
            </w:r>
          </w:p>
        </w:tc>
        <w:tc>
          <w:p>
            <w:pPr>
              <w:jc w:val="left"/>
            </w:pPr>
            <w:r>
              <w:t xml:space="preserve">0.726</w:t>
            </w:r>
          </w:p>
        </w:tc>
      </w:tr>
      <w:tr>
        <w:tc>
          <w:p>
            <w:pPr>
              <w:jc w:val="left"/>
            </w:pPr>
            <w:r>
              <w:t xml:space="preserve">90 s</w:t>
            </w:r>
          </w:p>
        </w:tc>
        <w:tc>
          <w:p>
            <w:pPr>
              <w:jc w:val="left"/>
            </w:pPr>
            <w:r>
              <w:t xml:space="preserve">0.015</w:t>
            </w:r>
          </w:p>
        </w:tc>
        <w:tc>
          <w:p>
            <w:pPr>
              <w:jc w:val="left"/>
            </w:pPr>
            <w:r>
              <w:t xml:space="preserve">0.720</w:t>
            </w:r>
          </w:p>
        </w:tc>
      </w:tr>
      <w:tr>
        <w:tc>
          <w:p>
            <w:pPr>
              <w:jc w:val="left"/>
            </w:pPr>
            <w:r>
              <w:t xml:space="preserve">Full recording</w:t>
            </w:r>
          </w:p>
        </w:tc>
        <w:tc>
          <w:p>
            <w:pPr>
              <w:jc w:val="left"/>
            </w:pPr>
            <w:r>
              <w:t xml:space="preserve">0.024</w:t>
            </w:r>
          </w:p>
        </w:tc>
        <w:tc>
          <w:p>
            <w:pPr>
              <w:jc w:val="left"/>
            </w:pPr>
            <w:r>
              <w:t xml:space="preserve">0.691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Shorter epochs yielded numerically higher AUC, but the effect direction and significance were consistent across all lengths, supporting the feasibility of a 60-s clinical acquisition protocol.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Table S3. Leave-One-Out (LOO) Stability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H-statistic range across 85 folds: 6.562–8.928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AD vs. HC AUC range: 0.679–0.710 (mean = 0.691)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Subjects exceeding 3× mean absolute AUC-shift deviation: sub-019, sub-033, sub-039, sub-040, sub-047, sub-048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After excluding these six: KW p = 0.018–0.026; AUC = 0.681–0.698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No single participant drives the primary result.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Table S4. First-Order Markov Assumption Validation (n = 20 subsample: 8 HC, 7 AD, 5 FTD)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5828"/>
        <w:gridCol w:w="3532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Metric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Result</w:t>
            </w:r>
          </w:p>
        </w:tc>
      </w:tr>
      <w:tr>
        <w:tc>
          <w:p>
            <w:pPr>
              <w:jc w:val="left"/>
            </w:pPr>
            <w:r>
              <w:t xml:space="preserve">BIC preference for 1st-order model</w:t>
            </w:r>
          </w:p>
        </w:tc>
        <w:tc>
          <w:p>
            <w:pPr>
              <w:jc w:val="left"/>
            </w:pPr>
            <w:r>
              <w:t xml:space="preserve">17/20 participants (85%)</w:t>
            </w:r>
          </w:p>
        </w:tc>
      </w:tr>
      <w:tr>
        <w:tc>
          <w:p>
            <w:pPr>
              <w:jc w:val="left"/>
            </w:pPr>
            <w:r>
              <w:t xml:space="preserve">LRT rejections of 1st-order model (α=0.05, Bonferroni-corrected)</w:t>
            </w:r>
          </w:p>
        </w:tc>
        <w:tc>
          <w:p>
            <w:pPr>
              <w:jc w:val="left"/>
            </w:pPr>
            <w:r>
              <w:t xml:space="preserve">3/20</w:t>
            </w:r>
          </w:p>
        </w:tc>
      </w:tr>
      <w:tr>
        <w:tc>
          <w:p>
            <w:pPr>
              <w:jc w:val="left"/>
            </w:pPr>
            <w:r>
              <w:t xml:space="preserve">Median ΔBIC (1st − 2nd order)</w:t>
            </w:r>
          </w:p>
        </w:tc>
        <w:tc>
          <w:p>
            <w:pPr>
              <w:jc w:val="left"/>
            </w:pPr>
            <w:r>
              <w:t xml:space="preserve">+38.2 (IQR 12.4–67.1)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Positive ΔBIC favours the simpler first-order model; the second-order model's added parameters are not justified in the large majority of participants.</w:t>
      </w:r>
    </w:p>
    <w:p>
      <w:pPr>
        <w:spacing w:after="200"/>
      </w:pPr>
      <w:r>
        <w:t xml:space="preserve"> 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Code and Data Availability</w:t>
      </w:r>
    </w:p>
    <w:p>
      <w:pPr>
        <w:spacing w:after="120"/>
        <w:jc w:val="left"/>
      </w:pPr>
      <w:r>
        <w:t xml:space="preserve">Full pipeline: Farooq, H. (2025). EEG Microstate ACE Pipeline. Zenodo. </w:t>
      </w:r>
      <w:r>
        <w:rPr>
          <w:color w:val="0563C1"/>
          <w:u w:val="single"/>
        </w:rPr>
        <w:t xml:space="preserve">https://doi.org/10.5281/zenodo.20756169</w:t>
      </w:r>
      <w:r>
        <w:br/>
      </w:r>
      <w:r>
        <w:t xml:space="preserve">Raw data: OpenNeuro ds004504 — </w:t>
      </w:r>
      <w:r>
        <w:rPr>
          <w:color w:val="0563C1"/>
          <w:u w:val="single"/>
        </w:rPr>
        <w:t xml:space="preserve">https://openneuro.org/datasets/ds004504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2026-07-03T10:47:08.918Z</dcterms:created>
  <dcterms:modified xsi:type="dcterms:W3CDTF">2026-07-03T10:47:08.918Z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