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5A5C" w14:textId="77777777" w:rsidR="00134555" w:rsidRPr="006519D4" w:rsidRDefault="00134555" w:rsidP="00134555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E01756">
        <w:rPr>
          <w:rFonts w:ascii="Times New Roman" w:hAnsi="Times New Roman" w:cs="Times New Roman"/>
          <w:b/>
          <w:bCs/>
          <w:sz w:val="24"/>
        </w:rPr>
        <w:t>Supplementary Table 1: Enrollment and Follow-up Completion Dates for All Patients</w:t>
      </w:r>
    </w:p>
    <w:tbl>
      <w:tblPr>
        <w:tblStyle w:val="a"/>
        <w:tblpPr w:leftFromText="180" w:rightFromText="180" w:horzAnchor="margin" w:tblpY="802"/>
        <w:tblW w:w="5210" w:type="pct"/>
        <w:tblLook w:val="04A0" w:firstRow="1" w:lastRow="0" w:firstColumn="1" w:lastColumn="0" w:noHBand="0" w:noVBand="1"/>
      </w:tblPr>
      <w:tblGrid>
        <w:gridCol w:w="1011"/>
        <w:gridCol w:w="2373"/>
        <w:gridCol w:w="1617"/>
        <w:gridCol w:w="1719"/>
        <w:gridCol w:w="1935"/>
      </w:tblGrid>
      <w:tr w:rsidR="00134555" w:rsidRPr="00E01756" w14:paraId="3F3C5B4B" w14:textId="77777777" w:rsidTr="00190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709777BA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1756">
              <w:rPr>
                <w:rFonts w:ascii="Times New Roman" w:hAnsi="Times New Roman" w:cs="Times New Roman"/>
                <w:b/>
                <w:bCs/>
                <w:sz w:val="24"/>
              </w:rPr>
              <w:t>Patient ID</w:t>
            </w:r>
          </w:p>
        </w:tc>
        <w:tc>
          <w:tcPr>
            <w:tcW w:w="0" w:type="auto"/>
            <w:hideMark/>
          </w:tcPr>
          <w:p w14:paraId="7DD90185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1756">
              <w:rPr>
                <w:rFonts w:ascii="Times New Roman" w:hAnsi="Times New Roman" w:cs="Times New Roman"/>
                <w:b/>
                <w:bCs/>
                <w:sz w:val="24"/>
              </w:rPr>
              <w:t>Group</w:t>
            </w:r>
          </w:p>
        </w:tc>
        <w:tc>
          <w:tcPr>
            <w:tcW w:w="0" w:type="auto"/>
            <w:hideMark/>
          </w:tcPr>
          <w:p w14:paraId="091C3B56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1756">
              <w:rPr>
                <w:rFonts w:ascii="Times New Roman" w:hAnsi="Times New Roman" w:cs="Times New Roman"/>
                <w:b/>
                <w:bCs/>
                <w:sz w:val="24"/>
              </w:rPr>
              <w:t>Enrollment Date Range</w:t>
            </w:r>
          </w:p>
        </w:tc>
        <w:tc>
          <w:tcPr>
            <w:tcW w:w="0" w:type="auto"/>
            <w:hideMark/>
          </w:tcPr>
          <w:p w14:paraId="1B1D1B00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1756">
              <w:rPr>
                <w:rFonts w:ascii="Times New Roman" w:hAnsi="Times New Roman" w:cs="Times New Roman"/>
                <w:b/>
                <w:bCs/>
                <w:sz w:val="24"/>
              </w:rPr>
              <w:t>Follow-up Completion Date</w:t>
            </w:r>
          </w:p>
        </w:tc>
        <w:tc>
          <w:tcPr>
            <w:tcW w:w="1118" w:type="pct"/>
            <w:hideMark/>
          </w:tcPr>
          <w:p w14:paraId="46A190C9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1756">
              <w:rPr>
                <w:rFonts w:ascii="Times New Roman" w:hAnsi="Times New Roman" w:cs="Times New Roman"/>
                <w:b/>
                <w:bCs/>
                <w:sz w:val="24"/>
              </w:rPr>
              <w:t>Remarks</w:t>
            </w:r>
          </w:p>
        </w:tc>
      </w:tr>
      <w:tr w:rsidR="00134555" w:rsidRPr="00E01756" w14:paraId="44258BBA" w14:textId="77777777" w:rsidTr="001909A9">
        <w:tc>
          <w:tcPr>
            <w:tcW w:w="0" w:type="auto"/>
            <w:hideMark/>
          </w:tcPr>
          <w:p w14:paraId="098711C8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1–20</w:t>
            </w:r>
          </w:p>
        </w:tc>
        <w:tc>
          <w:tcPr>
            <w:tcW w:w="0" w:type="auto"/>
            <w:hideMark/>
          </w:tcPr>
          <w:p w14:paraId="1DC1EEB7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Observation Group (Autologous Great Saphenous Vein Graft)</w:t>
            </w:r>
          </w:p>
        </w:tc>
        <w:tc>
          <w:tcPr>
            <w:tcW w:w="0" w:type="auto"/>
            <w:hideMark/>
          </w:tcPr>
          <w:p w14:paraId="33EF99C7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Jan 2024 – May 2024</w:t>
            </w:r>
          </w:p>
        </w:tc>
        <w:tc>
          <w:tcPr>
            <w:tcW w:w="0" w:type="auto"/>
            <w:hideMark/>
          </w:tcPr>
          <w:p w14:paraId="09EB4315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May 2026</w:t>
            </w:r>
          </w:p>
        </w:tc>
        <w:tc>
          <w:tcPr>
            <w:tcW w:w="1118" w:type="pct"/>
            <w:hideMark/>
          </w:tcPr>
          <w:p w14:paraId="217943AA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24-month follow-up completed</w:t>
            </w:r>
          </w:p>
        </w:tc>
      </w:tr>
      <w:tr w:rsidR="00134555" w:rsidRPr="00E01756" w14:paraId="57C77BA5" w14:textId="77777777" w:rsidTr="001909A9">
        <w:trPr>
          <w:trHeight w:val="1323"/>
        </w:trPr>
        <w:tc>
          <w:tcPr>
            <w:tcW w:w="0" w:type="auto"/>
            <w:hideMark/>
          </w:tcPr>
          <w:p w14:paraId="6F6E3689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21–40</w:t>
            </w:r>
          </w:p>
        </w:tc>
        <w:tc>
          <w:tcPr>
            <w:tcW w:w="0" w:type="auto"/>
            <w:hideMark/>
          </w:tcPr>
          <w:p w14:paraId="722F090C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Control Group (Prosthetic G/Traditional Upper Limb AVF)</w:t>
            </w:r>
          </w:p>
        </w:tc>
        <w:tc>
          <w:tcPr>
            <w:tcW w:w="0" w:type="auto"/>
            <w:hideMark/>
          </w:tcPr>
          <w:p w14:paraId="117B0520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Jan 2024 – May 2024</w:t>
            </w:r>
          </w:p>
        </w:tc>
        <w:tc>
          <w:tcPr>
            <w:tcW w:w="0" w:type="auto"/>
            <w:hideMark/>
          </w:tcPr>
          <w:p w14:paraId="37806887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May 2026</w:t>
            </w:r>
          </w:p>
        </w:tc>
        <w:tc>
          <w:tcPr>
            <w:tcW w:w="1118" w:type="pct"/>
            <w:hideMark/>
          </w:tcPr>
          <w:p w14:paraId="5436DCF5" w14:textId="77777777" w:rsidR="00134555" w:rsidRPr="00E01756" w:rsidRDefault="00134555" w:rsidP="001909A9">
            <w:pPr>
              <w:spacing w:after="160" w:line="278" w:lineRule="auto"/>
              <w:rPr>
                <w:rFonts w:ascii="Times New Roman" w:hAnsi="Times New Roman" w:cs="Times New Roman"/>
                <w:sz w:val="24"/>
              </w:rPr>
            </w:pPr>
            <w:r w:rsidRPr="00E01756">
              <w:rPr>
                <w:rFonts w:ascii="Times New Roman" w:hAnsi="Times New Roman" w:cs="Times New Roman"/>
                <w:sz w:val="24"/>
              </w:rPr>
              <w:t>24-month follow-up completed</w:t>
            </w:r>
          </w:p>
        </w:tc>
      </w:tr>
    </w:tbl>
    <w:p w14:paraId="1ADF3E36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  <w:r w:rsidRPr="00EB7919">
        <w:rPr>
          <w:rFonts w:ascii="Times New Roman" w:hAnsi="Times New Roman" w:cs="Times New Roman"/>
          <w:spacing w:val="20"/>
          <w:sz w:val="24"/>
        </w:rPr>
        <w:t>NOTE.</w:t>
      </w:r>
      <w:r w:rsidRPr="00F05CDE">
        <w:rPr>
          <w:rFonts w:ascii="Times New Roman" w:hAnsi="Times New Roman" w:cs="Times New Roman"/>
          <w:spacing w:val="20"/>
          <w:sz w:val="24"/>
        </w:rPr>
        <w:t xml:space="preserve"> This study consecutively enrolled 40 ESRD patients from two tertiary hospitals: </w:t>
      </w:r>
      <w:proofErr w:type="spellStart"/>
      <w:r w:rsidRPr="00F05CDE">
        <w:rPr>
          <w:rFonts w:ascii="Times New Roman" w:hAnsi="Times New Roman" w:cs="Times New Roman"/>
          <w:spacing w:val="20"/>
          <w:sz w:val="24"/>
        </w:rPr>
        <w:t>Yingtan</w:t>
      </w:r>
      <w:proofErr w:type="spellEnd"/>
      <w:r w:rsidRPr="00F05CDE">
        <w:rPr>
          <w:rFonts w:ascii="Times New Roman" w:hAnsi="Times New Roman" w:cs="Times New Roman"/>
          <w:spacing w:val="20"/>
          <w:sz w:val="24"/>
        </w:rPr>
        <w:t xml:space="preserve"> 184 Hospital (China </w:t>
      </w:r>
      <w:proofErr w:type="spellStart"/>
      <w:r w:rsidRPr="00F05CDE">
        <w:rPr>
          <w:rFonts w:ascii="Times New Roman" w:hAnsi="Times New Roman" w:cs="Times New Roman"/>
          <w:spacing w:val="20"/>
          <w:sz w:val="24"/>
        </w:rPr>
        <w:t>RongTong</w:t>
      </w:r>
      <w:proofErr w:type="spellEnd"/>
      <w:r w:rsidRPr="00F05CDE">
        <w:rPr>
          <w:rFonts w:ascii="Times New Roman" w:hAnsi="Times New Roman" w:cs="Times New Roman"/>
          <w:spacing w:val="20"/>
          <w:sz w:val="24"/>
        </w:rPr>
        <w:t xml:space="preserve"> Medical Healthcare Group Co. Ltd.) and the Second Affiliated Hospital of Jiangxi Medical College</w:t>
      </w:r>
      <w:r>
        <w:rPr>
          <w:rFonts w:ascii="Times New Roman" w:hAnsi="Times New Roman" w:cs="Times New Roman"/>
          <w:spacing w:val="20"/>
          <w:sz w:val="24"/>
        </w:rPr>
        <w:t>,</w:t>
      </w:r>
      <w:r w:rsidRPr="00F05CDE">
        <w:rPr>
          <w:rFonts w:ascii="Times New Roman" w:hAnsi="Times New Roman" w:cs="Times New Roman"/>
          <w:spacing w:val="20"/>
          <w:sz w:val="24"/>
        </w:rPr>
        <w:t xml:space="preserve"> Nanchang University. Observation group: autologous great saphenous vein transplantation; Control group: prosthetic graft or traditional upper</w:t>
      </w:r>
      <w:r w:rsidRPr="00F05CDE">
        <w:rPr>
          <w:rFonts w:ascii="Times New Roman" w:hAnsi="Times New Roman" w:cs="Times New Roman"/>
          <w:spacing w:val="20"/>
          <w:sz w:val="24"/>
        </w:rPr>
        <w:noBreakHyphen/>
        <w:t>limb arteriovenous fistula. Enrollment period: January 2024–May 2024. All participants completed a 24</w:t>
      </w:r>
      <w:r w:rsidRPr="00F05CDE">
        <w:rPr>
          <w:rFonts w:ascii="Times New Roman" w:hAnsi="Times New Roman" w:cs="Times New Roman"/>
          <w:spacing w:val="20"/>
          <w:sz w:val="24"/>
        </w:rPr>
        <w:noBreakHyphen/>
        <w:t>month follow</w:t>
      </w:r>
      <w:r w:rsidRPr="00F05CDE">
        <w:rPr>
          <w:rFonts w:ascii="Times New Roman" w:hAnsi="Times New Roman" w:cs="Times New Roman"/>
          <w:spacing w:val="20"/>
          <w:sz w:val="24"/>
        </w:rPr>
        <w:noBreakHyphen/>
        <w:t>up</w:t>
      </w:r>
      <w:r>
        <w:rPr>
          <w:rFonts w:ascii="Times New Roman" w:hAnsi="Times New Roman" w:cs="Times New Roman"/>
          <w:spacing w:val="20"/>
          <w:sz w:val="24"/>
        </w:rPr>
        <w:t>,</w:t>
      </w:r>
      <w:r w:rsidRPr="00F05CDE">
        <w:rPr>
          <w:rFonts w:ascii="Times New Roman" w:hAnsi="Times New Roman" w:cs="Times New Roman"/>
          <w:spacing w:val="20"/>
          <w:sz w:val="24"/>
        </w:rPr>
        <w:t xml:space="preserve"> with the final follow</w:t>
      </w:r>
      <w:r w:rsidRPr="00F05CDE">
        <w:rPr>
          <w:rFonts w:ascii="Times New Roman" w:hAnsi="Times New Roman" w:cs="Times New Roman"/>
          <w:spacing w:val="20"/>
          <w:sz w:val="24"/>
        </w:rPr>
        <w:noBreakHyphen/>
        <w:t>up visit in May 2026.</w:t>
      </w:r>
    </w:p>
    <w:p w14:paraId="01626C39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37DE6893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6A5EAD23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4D2505EF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20618315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57EE8DA0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75BC1A86" w14:textId="77777777" w:rsidR="00134555" w:rsidRPr="00F33E65" w:rsidRDefault="00134555" w:rsidP="00134555">
      <w:pPr>
        <w:widowControl/>
        <w:spacing w:after="0" w:line="480" w:lineRule="auto"/>
        <w:jc w:val="both"/>
        <w:rPr>
          <w:rFonts w:ascii="Times New Roman" w:eastAsia="SimSun" w:hAnsi="Times New Roman" w:cs="Times New Roman"/>
          <w:b/>
          <w:bCs/>
          <w:spacing w:val="20"/>
          <w:kern w:val="0"/>
          <w:sz w:val="24"/>
          <w14:ligatures w14:val="none"/>
        </w:rPr>
      </w:pPr>
      <w:r w:rsidRPr="00C20801">
        <w:rPr>
          <w:rFonts w:ascii="Times New Roman" w:eastAsia="SimSun" w:hAnsi="Times New Roman" w:cs="Times New Roman" w:hint="eastAsia"/>
          <w:b/>
          <w:bCs/>
          <w:color w:val="000000" w:themeColor="text1"/>
          <w:spacing w:val="20"/>
          <w:kern w:val="0"/>
          <w:sz w:val="24"/>
          <w14:ligatures w14:val="none"/>
        </w:rPr>
        <w:lastRenderedPageBreak/>
        <w:t>Supplementary Figure 1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pacing w:val="20"/>
          <w:kern w:val="0"/>
          <w:sz w:val="24"/>
          <w14:ligatures w14:val="none"/>
        </w:rPr>
        <w:t>.</w:t>
      </w:r>
      <w:r w:rsidRPr="00C20801">
        <w:rPr>
          <w:rFonts w:ascii="Times New Roman" w:eastAsia="SimSun" w:hAnsi="Times New Roman" w:cs="Times New Roman" w:hint="eastAsia"/>
          <w:b/>
          <w:bCs/>
          <w:color w:val="000000" w:themeColor="text1"/>
          <w:spacing w:val="20"/>
          <w:kern w:val="0"/>
          <w:sz w:val="24"/>
          <w14:ligatures w14:val="none"/>
        </w:rPr>
        <w:t xml:space="preserve"> </w:t>
      </w:r>
      <w:r w:rsidRPr="006271E9">
        <w:rPr>
          <w:rFonts w:ascii="Times New Roman" w:eastAsia="SimSun" w:hAnsi="Times New Roman" w:cs="Times New Roman"/>
          <w:b/>
          <w:bCs/>
          <w:spacing w:val="20"/>
          <w:kern w:val="0"/>
          <w:sz w:val="24"/>
          <w14:ligatures w14:val="none"/>
        </w:rPr>
        <w:t>The detailed surgical workflow and key procedural steps for both the observation and control groups</w:t>
      </w:r>
    </w:p>
    <w:p w14:paraId="4C5279FE" w14:textId="77777777" w:rsidR="00134555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  <w:r w:rsidRPr="00C20801">
        <w:rPr>
          <w:rFonts w:ascii="Times New Roman" w:hAnsi="Times New Roman" w:cs="Times New Roman"/>
          <w:noProof/>
          <w:spacing w:val="20"/>
          <w:sz w:val="24"/>
        </w:rPr>
        <w:drawing>
          <wp:inline distT="0" distB="0" distL="0" distR="0" wp14:anchorId="4870F507" wp14:editId="3074F7F1">
            <wp:extent cx="5274310" cy="2879090"/>
            <wp:effectExtent l="0" t="0" r="2540" b="0"/>
            <wp:docPr id="11191214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EF418" w14:textId="77777777" w:rsidR="00134555" w:rsidRPr="00494EE8" w:rsidRDefault="00134555" w:rsidP="00134555">
      <w:pPr>
        <w:widowControl/>
        <w:spacing w:after="0" w:line="480" w:lineRule="auto"/>
        <w:jc w:val="both"/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</w:pPr>
      <w:bookmarkStart w:id="0" w:name="OLE_LINK5"/>
      <w:r w:rsidRPr="00F33E65"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>Note: The flowchart illustrates the standardized surgical protocols for the study. Patients in the Observation Group received autologous GSV transplantation</w:t>
      </w:r>
      <w:r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>,</w:t>
      </w:r>
      <w:r w:rsidRPr="00F33E65"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 xml:space="preserve"> featuring a mandatory "vein reversal" step to accommodate valve orientation. The Control Group u</w:t>
      </w:r>
      <w:r w:rsidRPr="00DE7B82"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>nderwent either traditional forearm AVF or ePTFE graft placement based on native vascular quality. Standardized anesthesia</w:t>
      </w:r>
      <w:r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>,</w:t>
      </w:r>
      <w:r w:rsidRPr="00DE7B82"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 xml:space="preserve"> heparinized saline flushing</w:t>
      </w:r>
      <w:r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>,</w:t>
      </w:r>
      <w:r w:rsidRPr="00DE7B82">
        <w:rPr>
          <w:rFonts w:ascii="Times New Roman" w:eastAsia="SimSun" w:hAnsi="Times New Roman" w:cs="Times New Roman"/>
          <w:spacing w:val="20"/>
          <w:kern w:val="0"/>
          <w:sz w:val="24"/>
          <w14:ligatures w14:val="none"/>
        </w:rPr>
        <w:t xml:space="preserve"> and 6-0 Prolene suturing were maintained across both groups to ensure procedural consistency.</w:t>
      </w:r>
    </w:p>
    <w:bookmarkEnd w:id="0"/>
    <w:p w14:paraId="258708FF" w14:textId="77777777" w:rsidR="00134555" w:rsidRPr="008E1FE2" w:rsidRDefault="00134555" w:rsidP="00134555">
      <w:pPr>
        <w:spacing w:after="0" w:line="480" w:lineRule="auto"/>
        <w:jc w:val="both"/>
        <w:rPr>
          <w:rFonts w:ascii="Times New Roman" w:hAnsi="Times New Roman" w:cs="Times New Roman"/>
          <w:spacing w:val="20"/>
          <w:sz w:val="24"/>
        </w:rPr>
      </w:pPr>
    </w:p>
    <w:p w14:paraId="085B2563" w14:textId="77777777" w:rsidR="00C6465A" w:rsidRDefault="00C6465A"/>
    <w:sectPr w:rsidR="00C6465A" w:rsidSect="00134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55"/>
    <w:rsid w:val="000905F0"/>
    <w:rsid w:val="00112C91"/>
    <w:rsid w:val="00134555"/>
    <w:rsid w:val="00242B4F"/>
    <w:rsid w:val="00302F9E"/>
    <w:rsid w:val="004733E3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B82A"/>
  <w15:chartTrackingRefBased/>
  <w15:docId w15:val="{CE01537A-C8B9-49D2-B884-9E7CF97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555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555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555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555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555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555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555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555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555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555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55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34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555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34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555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34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555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134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55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555"/>
    <w:rPr>
      <w:b/>
      <w:bCs/>
      <w:smallCaps/>
      <w:color w:val="0F4761" w:themeColor="accent1" w:themeShade="BF"/>
      <w:spacing w:val="5"/>
    </w:rPr>
  </w:style>
  <w:style w:type="table" w:customStyle="1" w:styleId="a">
    <w:name w:val="三线表"/>
    <w:basedOn w:val="TableNormal"/>
    <w:uiPriority w:val="99"/>
    <w:rsid w:val="00134555"/>
    <w:pPr>
      <w:spacing w:after="0" w:line="240" w:lineRule="auto"/>
    </w:pPr>
    <w:rPr>
      <w:rFonts w:eastAsiaTheme="minorEastAsia"/>
      <w:sz w:val="22"/>
      <w:lang w:val="en-US" w:eastAsia="zh-C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1322</Characters>
  <Application>Microsoft Office Word</Application>
  <DocSecurity>0</DocSecurity>
  <Lines>19</Lines>
  <Paragraphs>4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2026-08-07T14:02:00Z</dcterms:created>
  <dcterms:modified xsi:type="dcterms:W3CDTF">2026-08-07T14:03:00Z</dcterms:modified>
</cp:coreProperties>
</file>