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E3672" w14:textId="0BD2F558" w:rsidR="007C2925" w:rsidRPr="00555839" w:rsidRDefault="0033537A" w:rsidP="00C63B55">
      <w:pPr>
        <w:jc w:val="center"/>
        <w:rPr>
          <w:b/>
          <w:bCs/>
          <w:lang w:val="en-US"/>
        </w:rPr>
      </w:pPr>
      <w:r w:rsidRPr="00555839">
        <w:rPr>
          <w:b/>
          <w:bCs/>
          <w:lang w:val="en-US"/>
        </w:rPr>
        <w:t>Recommendations for the Conducting and Reporting of Delphi Studies (CREDES)</w:t>
      </w:r>
      <w:r w:rsidR="00C300D2" w:rsidRPr="00555839">
        <w:rPr>
          <w:b/>
          <w:bCs/>
          <w:lang w:val="en-US"/>
        </w:rPr>
        <w:fldChar w:fldCharType="begin">
          <w:fldData xml:space="preserve">PEVuZE5vdGU+PENpdGU+PEF1dGhvcj5Kw7xuZ2VyPC9BdXRob3I+PFllYXI+MjAxNzwvWWVhcj48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</w:fldData>
        </w:fldChar>
      </w:r>
      <w:r w:rsidR="00C300D2" w:rsidRPr="00555839">
        <w:rPr>
          <w:b/>
          <w:bCs/>
          <w:lang w:val="en-US"/>
        </w:rPr>
        <w:instrText xml:space="preserve"> ADDIN EN.CITE </w:instrText>
      </w:r>
      <w:r w:rsidR="00C300D2" w:rsidRPr="00555839">
        <w:rPr>
          <w:b/>
          <w:bCs/>
          <w:lang w:val="en-US"/>
        </w:rPr>
        <w:fldChar w:fldCharType="begin">
          <w:fldData xml:space="preserve">PEVuZE5vdGU+PENpdGU+PEF1dGhvcj5Kw7xuZ2VyPC9BdXRob3I+PFllYXI+MjAxNzwvWWVhcj48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</w:fldData>
        </w:fldChar>
      </w:r>
      <w:r w:rsidR="00C300D2" w:rsidRPr="00555839">
        <w:rPr>
          <w:b/>
          <w:bCs/>
          <w:lang w:val="en-US"/>
        </w:rPr>
        <w:instrText xml:space="preserve"> ADDIN EN.CITE.DATA </w:instrText>
      </w:r>
      <w:r w:rsidR="00C300D2" w:rsidRPr="00555839">
        <w:rPr>
          <w:b/>
          <w:bCs/>
          <w:lang w:val="en-US"/>
        </w:rPr>
      </w:r>
      <w:r w:rsidR="00C300D2" w:rsidRPr="00555839">
        <w:rPr>
          <w:b/>
          <w:bCs/>
          <w:lang w:val="en-US"/>
        </w:rPr>
        <w:fldChar w:fldCharType="end"/>
      </w:r>
      <w:r w:rsidR="00C300D2" w:rsidRPr="00555839">
        <w:rPr>
          <w:b/>
          <w:bCs/>
          <w:lang w:val="en-US"/>
        </w:rPr>
      </w:r>
      <w:r w:rsidR="00C300D2" w:rsidRPr="00555839">
        <w:rPr>
          <w:b/>
          <w:bCs/>
          <w:lang w:val="en-US"/>
        </w:rPr>
        <w:fldChar w:fldCharType="separate"/>
      </w:r>
      <w:r w:rsidR="00C300D2" w:rsidRPr="00555839">
        <w:rPr>
          <w:b/>
          <w:bCs/>
          <w:noProof/>
          <w:lang w:val="en-US"/>
        </w:rPr>
        <w:t>[1]</w:t>
      </w:r>
      <w:r w:rsidR="00C300D2" w:rsidRPr="00555839">
        <w:rPr>
          <w:b/>
          <w:bCs/>
          <w:lang w:val="en-US"/>
        </w:rPr>
        <w:fldChar w:fldCharType="end"/>
      </w:r>
    </w:p>
    <w:p w14:paraId="1A06C13A" w14:textId="15B168CB" w:rsidR="0000309B" w:rsidRPr="00555839" w:rsidRDefault="00C63B55" w:rsidP="00C63B55">
      <w:pPr>
        <w:jc w:val="center"/>
        <w:rPr>
          <w:b/>
          <w:bCs/>
          <w:lang w:val="en-US"/>
        </w:rPr>
      </w:pPr>
      <w:r>
        <w:rPr>
          <w:b/>
          <w:bCs/>
          <w:lang w:val="en-US"/>
        </w:rPr>
        <w:t>“</w:t>
      </w:r>
      <w:r w:rsidRPr="00C63B55">
        <w:rPr>
          <w:b/>
          <w:bCs/>
          <w:lang w:val="en-US"/>
        </w:rPr>
        <w:t>Development of the Systems Tool for Readiness, Implementation and Disease Elimination (STRIDE) for malaria elimination: an online Delphi study</w:t>
      </w:r>
      <w:r>
        <w:rPr>
          <w:b/>
          <w:bCs/>
          <w:lang w:val="en-US"/>
        </w:rPr>
        <w:t>”</w:t>
      </w:r>
    </w:p>
    <w:tbl>
      <w:tblPr>
        <w:tblStyle w:val="TableGrid"/>
        <w:tblW w:w="0" w:type="auto"/>
        <w:tblLook w:val="04A0" w:firstRow="1" w:lastRow="0" w:firstColumn="1" w:lastColumn="0" w:noHBand="0" w:noVBand="1"/>
      </w:tblPr>
      <w:tblGrid>
        <w:gridCol w:w="7555"/>
        <w:gridCol w:w="1461"/>
      </w:tblGrid>
      <w:tr w:rsidR="00C300D2" w:rsidRPr="008C5044" w14:paraId="18BB71B0" w14:textId="77777777" w:rsidTr="008C5044">
        <w:tc>
          <w:tcPr>
            <w:tcW w:w="7555" w:type="dxa"/>
          </w:tcPr>
          <w:p w14:paraId="01CFCA64" w14:textId="77A8B815" w:rsidR="00C300D2" w:rsidRPr="008C5044" w:rsidRDefault="00555839" w:rsidP="008C5044">
            <w:pPr>
              <w:rPr>
                <w:lang w:val="en-US"/>
              </w:rPr>
            </w:pPr>
            <w:r w:rsidRPr="008C5044">
              <w:rPr>
                <w:lang w:val="en-US"/>
              </w:rPr>
              <w:t>Guidance on Conducting and Reporting Delphi Studies (CREDES) checklist</w:t>
            </w:r>
          </w:p>
        </w:tc>
        <w:tc>
          <w:tcPr>
            <w:tcW w:w="1461" w:type="dxa"/>
          </w:tcPr>
          <w:p w14:paraId="1B94061E" w14:textId="2097F20D" w:rsidR="00C300D2" w:rsidRPr="008C5044" w:rsidRDefault="00555839" w:rsidP="008C5044">
            <w:pPr>
              <w:rPr>
                <w:lang w:val="en-US"/>
              </w:rPr>
            </w:pPr>
            <w:r w:rsidRPr="008C5044">
              <w:rPr>
                <w:lang w:val="en-US"/>
              </w:rPr>
              <w:t>Page no.</w:t>
            </w:r>
          </w:p>
        </w:tc>
      </w:tr>
      <w:tr w:rsidR="009B71FF" w:rsidRPr="008C5044" w14:paraId="5C8E78BF" w14:textId="77777777" w:rsidTr="00121BB3">
        <w:tc>
          <w:tcPr>
            <w:tcW w:w="9016" w:type="dxa"/>
            <w:gridSpan w:val="2"/>
            <w:shd w:val="clear" w:color="auto" w:fill="BFBFBF" w:themeFill="background1" w:themeFillShade="BF"/>
          </w:tcPr>
          <w:p w14:paraId="63B61D4A" w14:textId="176E62FC" w:rsidR="009B71FF" w:rsidRPr="008C5044" w:rsidRDefault="009B71FF">
            <w:pPr>
              <w:rPr>
                <w:i/>
                <w:iCs/>
                <w:lang w:val="en-US"/>
              </w:rPr>
            </w:pPr>
            <w:r w:rsidRPr="008C5044">
              <w:rPr>
                <w:i/>
                <w:iCs/>
                <w:lang w:val="en-US"/>
              </w:rPr>
              <w:t>Rationale for Delphi Technique</w:t>
            </w:r>
          </w:p>
        </w:tc>
      </w:tr>
      <w:tr w:rsidR="00C300D2" w14:paraId="48A91194" w14:textId="77777777" w:rsidTr="008C5044">
        <w:tc>
          <w:tcPr>
            <w:tcW w:w="7555" w:type="dxa"/>
          </w:tcPr>
          <w:p w14:paraId="60BB218F" w14:textId="6F963627" w:rsidR="00C300D2" w:rsidRDefault="001B525E" w:rsidP="009B71FF">
            <w:pPr>
              <w:rPr>
                <w:lang w:val="en-US"/>
              </w:rPr>
            </w:pPr>
            <w:r w:rsidRPr="009B71FF">
              <w:rPr>
                <w:i/>
                <w:iCs/>
                <w:lang w:val="en-US"/>
              </w:rPr>
              <w:t>Justification:</w:t>
            </w:r>
            <w:r>
              <w:rPr>
                <w:lang w:val="en-US"/>
              </w:rPr>
              <w:t xml:space="preserve"> </w:t>
            </w:r>
            <w:r w:rsidR="00396C41" w:rsidRPr="00396C41">
              <w:rPr>
                <w:lang w:val="en-US"/>
              </w:rPr>
              <w:t xml:space="preserve">The choice of the Delphi technique as a method of </w:t>
            </w:r>
            <w:r w:rsidR="009B71FF">
              <w:rPr>
                <w:lang w:val="en-US"/>
              </w:rPr>
              <w:t>s</w:t>
            </w:r>
            <w:r w:rsidR="00396C41" w:rsidRPr="00396C41">
              <w:rPr>
                <w:lang w:val="en-US"/>
              </w:rPr>
              <w:t>ystematically collating expert consultation and building consensus needs to be well justified. When selecting the method to answer a particular research question, it is important to keep in mind its constructivist nature</w:t>
            </w:r>
          </w:p>
        </w:tc>
        <w:tc>
          <w:tcPr>
            <w:tcW w:w="1461" w:type="dxa"/>
          </w:tcPr>
          <w:p w14:paraId="0603538E" w14:textId="12F96F3C" w:rsidR="00C300D2" w:rsidRDefault="00BA4E90">
            <w:pPr>
              <w:rPr>
                <w:lang w:val="en-US"/>
              </w:rPr>
            </w:pPr>
            <w:r>
              <w:rPr>
                <w:lang w:val="en-US"/>
              </w:rPr>
              <w:t>6</w:t>
            </w:r>
          </w:p>
        </w:tc>
      </w:tr>
      <w:tr w:rsidR="009B71FF" w:rsidRPr="008C5044" w14:paraId="61B2794D" w14:textId="77777777" w:rsidTr="009B71FF">
        <w:tc>
          <w:tcPr>
            <w:tcW w:w="9016" w:type="dxa"/>
            <w:gridSpan w:val="2"/>
            <w:shd w:val="clear" w:color="auto" w:fill="BFBFBF" w:themeFill="background1" w:themeFillShade="BF"/>
          </w:tcPr>
          <w:p w14:paraId="36331B7E" w14:textId="6DD86ACE" w:rsidR="009B71FF" w:rsidRPr="008C5044" w:rsidRDefault="009B71FF">
            <w:pPr>
              <w:rPr>
                <w:i/>
                <w:iCs/>
                <w:lang w:val="en-US"/>
              </w:rPr>
            </w:pPr>
            <w:r w:rsidRPr="008C5044">
              <w:rPr>
                <w:i/>
                <w:iCs/>
                <w:lang w:val="en-US"/>
              </w:rPr>
              <w:t>Planning and design</w:t>
            </w:r>
          </w:p>
        </w:tc>
      </w:tr>
      <w:tr w:rsidR="00C300D2" w14:paraId="5C7F39D3" w14:textId="77777777" w:rsidTr="008C5044">
        <w:tc>
          <w:tcPr>
            <w:tcW w:w="7555" w:type="dxa"/>
          </w:tcPr>
          <w:p w14:paraId="16E47896" w14:textId="58F2786F" w:rsidR="00C300D2" w:rsidRDefault="00701404" w:rsidP="009B71FF">
            <w:pPr>
              <w:rPr>
                <w:lang w:val="en-US"/>
              </w:rPr>
            </w:pPr>
            <w:r w:rsidRPr="009B71FF">
              <w:rPr>
                <w:i/>
                <w:iCs/>
                <w:lang w:val="en-US"/>
              </w:rPr>
              <w:t>Planning and process.</w:t>
            </w:r>
            <w:r w:rsidRPr="00701404">
              <w:rPr>
                <w:lang w:val="en-US"/>
              </w:rPr>
              <w:t xml:space="preserve"> The Delphi technique is a flexible method and can be adjusted to the respective research aims and</w:t>
            </w:r>
            <w:r w:rsidR="009B71FF">
              <w:rPr>
                <w:lang w:val="en-US"/>
              </w:rPr>
              <w:t xml:space="preserve"> </w:t>
            </w:r>
            <w:r w:rsidRPr="00701404">
              <w:rPr>
                <w:lang w:val="en-US"/>
              </w:rPr>
              <w:t>purposes. Any modifications should be justified by a rationale and be applied systematically and rigorously</w:t>
            </w:r>
          </w:p>
        </w:tc>
        <w:tc>
          <w:tcPr>
            <w:tcW w:w="1461" w:type="dxa"/>
          </w:tcPr>
          <w:p w14:paraId="55F2BE66" w14:textId="13EAC81C" w:rsidR="00C300D2" w:rsidRDefault="008424A5">
            <w:pPr>
              <w:rPr>
                <w:lang w:val="en-US"/>
              </w:rPr>
            </w:pPr>
            <w:r>
              <w:rPr>
                <w:lang w:val="en-US"/>
              </w:rPr>
              <w:t>6–9</w:t>
            </w:r>
          </w:p>
        </w:tc>
      </w:tr>
      <w:tr w:rsidR="00C300D2" w14:paraId="56B9BDE6" w14:textId="77777777" w:rsidTr="008C5044">
        <w:tc>
          <w:tcPr>
            <w:tcW w:w="7555" w:type="dxa"/>
          </w:tcPr>
          <w:p w14:paraId="17DA4DA3" w14:textId="48A09A85" w:rsidR="00C300D2" w:rsidRDefault="00701404" w:rsidP="00F1226F">
            <w:pPr>
              <w:rPr>
                <w:lang w:val="en-US"/>
              </w:rPr>
            </w:pPr>
            <w:r w:rsidRPr="009B71FF">
              <w:rPr>
                <w:i/>
                <w:iCs/>
                <w:lang w:val="en-US"/>
              </w:rPr>
              <w:t>Definition of consensus.</w:t>
            </w:r>
            <w:r w:rsidRPr="00701404">
              <w:rPr>
                <w:lang w:val="en-US"/>
              </w:rPr>
              <w:t xml:space="preserve"> Unless not reasonable due to the explorative nature of the study, </w:t>
            </w:r>
            <w:proofErr w:type="gramStart"/>
            <w:r w:rsidRPr="00701404">
              <w:rPr>
                <w:lang w:val="en-US"/>
              </w:rPr>
              <w:t>an a</w:t>
            </w:r>
            <w:proofErr w:type="gramEnd"/>
            <w:r w:rsidRPr="00701404">
              <w:rPr>
                <w:lang w:val="en-US"/>
              </w:rPr>
              <w:t xml:space="preserve"> priori criterion for consensus should be defined. This includes a clear and transparent guide for action on (a) how to proceed with certain items or topics in the next survey round, (b) the required threshold to terminate the Delphi process and (c) procedures to be followed when consensus is (not) reached after one or more iterations</w:t>
            </w:r>
          </w:p>
        </w:tc>
        <w:tc>
          <w:tcPr>
            <w:tcW w:w="1461" w:type="dxa"/>
          </w:tcPr>
          <w:p w14:paraId="2CE134F7" w14:textId="54D789BB" w:rsidR="00C300D2" w:rsidRDefault="00967C06">
            <w:pPr>
              <w:rPr>
                <w:lang w:val="en-US"/>
              </w:rPr>
            </w:pPr>
            <w:r>
              <w:rPr>
                <w:lang w:val="en-US"/>
              </w:rPr>
              <w:t>8</w:t>
            </w:r>
          </w:p>
        </w:tc>
      </w:tr>
      <w:tr w:rsidR="009B71FF" w:rsidRPr="008C5044" w14:paraId="275A76F1" w14:textId="77777777" w:rsidTr="009B71FF">
        <w:tc>
          <w:tcPr>
            <w:tcW w:w="9016" w:type="dxa"/>
            <w:gridSpan w:val="2"/>
            <w:shd w:val="clear" w:color="auto" w:fill="BFBFBF" w:themeFill="background1" w:themeFillShade="BF"/>
          </w:tcPr>
          <w:p w14:paraId="78EFECC0" w14:textId="175BFBCF" w:rsidR="009B71FF" w:rsidRPr="008C5044" w:rsidRDefault="009B71FF">
            <w:pPr>
              <w:rPr>
                <w:i/>
                <w:iCs/>
                <w:lang w:val="en-US"/>
              </w:rPr>
            </w:pPr>
            <w:r w:rsidRPr="008C5044">
              <w:rPr>
                <w:i/>
                <w:iCs/>
                <w:lang w:val="en-US"/>
              </w:rPr>
              <w:t>Study conduct</w:t>
            </w:r>
          </w:p>
        </w:tc>
      </w:tr>
      <w:tr w:rsidR="001F4467" w14:paraId="3DF013EA" w14:textId="77777777" w:rsidTr="008C5044">
        <w:tc>
          <w:tcPr>
            <w:tcW w:w="7555" w:type="dxa"/>
          </w:tcPr>
          <w:p w14:paraId="6720C2B2" w14:textId="43BB5A37" w:rsidR="001F4467" w:rsidRDefault="001F4467" w:rsidP="00F1226F">
            <w:pPr>
              <w:rPr>
                <w:lang w:val="en-US"/>
              </w:rPr>
            </w:pPr>
            <w:r w:rsidRPr="009B71FF">
              <w:rPr>
                <w:i/>
                <w:iCs/>
                <w:lang w:val="en-US"/>
              </w:rPr>
              <w:t>Informational input.</w:t>
            </w:r>
            <w:r w:rsidRPr="001F4467">
              <w:rPr>
                <w:lang w:val="en-US"/>
              </w:rPr>
              <w:t xml:space="preserve"> All material provided to the expert panel at the outset of the project and throughout the Delphi process should be carefully reviewed and piloted in advance </w:t>
            </w:r>
            <w:proofErr w:type="gramStart"/>
            <w:r w:rsidRPr="001F4467">
              <w:rPr>
                <w:lang w:val="en-US"/>
              </w:rPr>
              <w:t>in order to</w:t>
            </w:r>
            <w:proofErr w:type="gramEnd"/>
            <w:r w:rsidRPr="001F4467">
              <w:rPr>
                <w:lang w:val="en-US"/>
              </w:rPr>
              <w:t xml:space="preserve"> examine the effect on experts’ judgements and to prevent bias</w:t>
            </w:r>
          </w:p>
        </w:tc>
        <w:tc>
          <w:tcPr>
            <w:tcW w:w="1461" w:type="dxa"/>
          </w:tcPr>
          <w:p w14:paraId="6EDA0B4A" w14:textId="09525DE5" w:rsidR="001F4467" w:rsidRDefault="00967C06">
            <w:pPr>
              <w:rPr>
                <w:lang w:val="en-US"/>
              </w:rPr>
            </w:pPr>
            <w:r>
              <w:rPr>
                <w:lang w:val="en-US"/>
              </w:rPr>
              <w:t>8–9</w:t>
            </w:r>
          </w:p>
        </w:tc>
      </w:tr>
      <w:tr w:rsidR="001F4467" w14:paraId="2384EFDD" w14:textId="77777777" w:rsidTr="008C5044">
        <w:tc>
          <w:tcPr>
            <w:tcW w:w="7555" w:type="dxa"/>
          </w:tcPr>
          <w:p w14:paraId="108B9C96" w14:textId="173D46DD" w:rsidR="001F4467" w:rsidRPr="001F4467" w:rsidRDefault="001F4467" w:rsidP="00F1226F">
            <w:pPr>
              <w:rPr>
                <w:lang w:val="en-US"/>
              </w:rPr>
            </w:pPr>
            <w:r w:rsidRPr="009B71FF">
              <w:rPr>
                <w:i/>
                <w:iCs/>
                <w:lang w:val="en-US"/>
              </w:rPr>
              <w:t>Prevention of bias.</w:t>
            </w:r>
            <w:r w:rsidRPr="001F4467">
              <w:rPr>
                <w:lang w:val="en-US"/>
              </w:rPr>
              <w:t xml:space="preserve"> Researchers need to take measures to avoid directly or indirectly influencing the experts’ judgements. If one or more members of the research team have a conflict of interest, entrusting an independent researcher with the main coordination of the Delphi study is advisable</w:t>
            </w:r>
          </w:p>
        </w:tc>
        <w:tc>
          <w:tcPr>
            <w:tcW w:w="1461" w:type="dxa"/>
          </w:tcPr>
          <w:p w14:paraId="5702DA7E" w14:textId="6195BA3B" w:rsidR="001F4467" w:rsidRDefault="00B8624D">
            <w:pPr>
              <w:rPr>
                <w:lang w:val="en-US"/>
              </w:rPr>
            </w:pPr>
            <w:r>
              <w:rPr>
                <w:lang w:val="en-US"/>
              </w:rPr>
              <w:t>28</w:t>
            </w:r>
          </w:p>
        </w:tc>
      </w:tr>
      <w:tr w:rsidR="001F4467" w14:paraId="494AE6E0" w14:textId="77777777" w:rsidTr="008C5044">
        <w:tc>
          <w:tcPr>
            <w:tcW w:w="7555" w:type="dxa"/>
          </w:tcPr>
          <w:p w14:paraId="168465FD" w14:textId="7E8FC3B5" w:rsidR="001F4467" w:rsidRPr="001F4467" w:rsidRDefault="00A755A4" w:rsidP="00F1226F">
            <w:pPr>
              <w:rPr>
                <w:lang w:val="en-US"/>
              </w:rPr>
            </w:pPr>
            <w:r w:rsidRPr="009B71FF">
              <w:rPr>
                <w:i/>
                <w:iCs/>
                <w:lang w:val="en-US"/>
              </w:rPr>
              <w:t>Interpretation and processing of results.</w:t>
            </w:r>
            <w:r w:rsidRPr="00A755A4">
              <w:rPr>
                <w:lang w:val="en-US"/>
              </w:rPr>
              <w:t xml:space="preserve"> Consensus does not necessarily imply the ‘correct’ answer or judgement; (non)consensus and stable disagreement provide informative insights and highlight differences in perspectives concerning the topic in question</w:t>
            </w:r>
          </w:p>
        </w:tc>
        <w:tc>
          <w:tcPr>
            <w:tcW w:w="1461" w:type="dxa"/>
          </w:tcPr>
          <w:p w14:paraId="70495B92" w14:textId="274162CE" w:rsidR="001F4467" w:rsidRDefault="00C4572B">
            <w:pPr>
              <w:rPr>
                <w:lang w:val="en-US"/>
              </w:rPr>
            </w:pPr>
            <w:r>
              <w:rPr>
                <w:lang w:val="en-US"/>
              </w:rPr>
              <w:t>11–17</w:t>
            </w:r>
          </w:p>
        </w:tc>
      </w:tr>
      <w:tr w:rsidR="00A755A4" w14:paraId="13CAF76B" w14:textId="77777777" w:rsidTr="008C5044">
        <w:tc>
          <w:tcPr>
            <w:tcW w:w="7555" w:type="dxa"/>
          </w:tcPr>
          <w:p w14:paraId="1A79B7CC" w14:textId="02ADCDCF" w:rsidR="00A755A4" w:rsidRPr="00A755A4" w:rsidRDefault="00A755A4" w:rsidP="00F1226F">
            <w:pPr>
              <w:rPr>
                <w:lang w:val="en-US"/>
              </w:rPr>
            </w:pPr>
            <w:r w:rsidRPr="009B71FF">
              <w:rPr>
                <w:i/>
                <w:iCs/>
                <w:lang w:val="en-US"/>
              </w:rPr>
              <w:t>External validation.</w:t>
            </w:r>
            <w:r w:rsidRPr="00A755A4">
              <w:rPr>
                <w:lang w:val="en-US"/>
              </w:rPr>
              <w:t xml:space="preserve"> It is recommended to have the final draft of the resulting guidance on best practice in palliative care reviewed and approved by an external board or authority before publication and dissemination</w:t>
            </w:r>
          </w:p>
        </w:tc>
        <w:tc>
          <w:tcPr>
            <w:tcW w:w="1461" w:type="dxa"/>
          </w:tcPr>
          <w:p w14:paraId="4A8CBA11" w14:textId="6BF5155E" w:rsidR="00A755A4" w:rsidRDefault="009B39A2">
            <w:pPr>
              <w:rPr>
                <w:lang w:val="en-US"/>
              </w:rPr>
            </w:pPr>
            <w:r>
              <w:rPr>
                <w:lang w:val="en-US"/>
              </w:rPr>
              <w:t>N/A</w:t>
            </w:r>
          </w:p>
        </w:tc>
      </w:tr>
      <w:tr w:rsidR="009B71FF" w:rsidRPr="008C5044" w14:paraId="13FE5B70" w14:textId="77777777" w:rsidTr="009B71FF">
        <w:tc>
          <w:tcPr>
            <w:tcW w:w="9016" w:type="dxa"/>
            <w:gridSpan w:val="2"/>
            <w:shd w:val="clear" w:color="auto" w:fill="BFBFBF" w:themeFill="background1" w:themeFillShade="BF"/>
          </w:tcPr>
          <w:p w14:paraId="37E2D47C" w14:textId="56B7235C" w:rsidR="009B71FF" w:rsidRPr="008C5044" w:rsidRDefault="009B71FF">
            <w:pPr>
              <w:rPr>
                <w:i/>
                <w:iCs/>
                <w:lang w:val="en-US"/>
              </w:rPr>
            </w:pPr>
            <w:r w:rsidRPr="008C5044">
              <w:rPr>
                <w:i/>
                <w:iCs/>
                <w:lang w:val="en-US"/>
              </w:rPr>
              <w:t>Reporting</w:t>
            </w:r>
          </w:p>
        </w:tc>
      </w:tr>
      <w:tr w:rsidR="00A755A4" w14:paraId="1BB94F48" w14:textId="77777777" w:rsidTr="008C5044">
        <w:tc>
          <w:tcPr>
            <w:tcW w:w="7555" w:type="dxa"/>
          </w:tcPr>
          <w:p w14:paraId="6475F900" w14:textId="10878C68" w:rsidR="00A755A4" w:rsidRDefault="0045217E" w:rsidP="00F1226F">
            <w:pPr>
              <w:rPr>
                <w:lang w:val="en-US"/>
              </w:rPr>
            </w:pPr>
            <w:r w:rsidRPr="009B71FF">
              <w:rPr>
                <w:i/>
                <w:iCs/>
                <w:lang w:val="en-US"/>
              </w:rPr>
              <w:t>Purpose and rationale.</w:t>
            </w:r>
            <w:r w:rsidRPr="0045217E">
              <w:rPr>
                <w:lang w:val="en-US"/>
              </w:rPr>
              <w:t xml:space="preserve"> The purpose of the study should be clearly defined and demonstrate the appropriateness of the use of the Delphi technique as a method to achieve the research aim. A rationale for the choice of the Delphi technique as the most suitable method needs to be provided</w:t>
            </w:r>
          </w:p>
        </w:tc>
        <w:tc>
          <w:tcPr>
            <w:tcW w:w="1461" w:type="dxa"/>
          </w:tcPr>
          <w:p w14:paraId="1CDE6AF1" w14:textId="3D298204" w:rsidR="00A755A4" w:rsidRDefault="001375BC">
            <w:pPr>
              <w:rPr>
                <w:lang w:val="en-US"/>
              </w:rPr>
            </w:pPr>
            <w:r>
              <w:rPr>
                <w:lang w:val="en-US"/>
              </w:rPr>
              <w:t>6</w:t>
            </w:r>
          </w:p>
        </w:tc>
      </w:tr>
      <w:tr w:rsidR="0045217E" w14:paraId="0BD09AAA" w14:textId="77777777" w:rsidTr="008C5044">
        <w:tc>
          <w:tcPr>
            <w:tcW w:w="7555" w:type="dxa"/>
          </w:tcPr>
          <w:p w14:paraId="34795EEB" w14:textId="0FA1C1E9" w:rsidR="0045217E" w:rsidRPr="0045217E" w:rsidRDefault="0045217E" w:rsidP="00F1226F">
            <w:pPr>
              <w:rPr>
                <w:lang w:val="en-US"/>
              </w:rPr>
            </w:pPr>
            <w:r w:rsidRPr="009B71FF">
              <w:rPr>
                <w:i/>
                <w:iCs/>
                <w:lang w:val="en-US"/>
              </w:rPr>
              <w:t>Expert panel.</w:t>
            </w:r>
            <w:r w:rsidRPr="0045217E">
              <w:rPr>
                <w:lang w:val="en-US"/>
              </w:rPr>
              <w:t xml:space="preserve"> Criteria for the selection of experts and transparent information on recruitment of the expert panel, sociodemographic details including information on expertise regarding the topic in question, (non)response and response rates over the ongoing iterations should be reported</w:t>
            </w:r>
          </w:p>
        </w:tc>
        <w:tc>
          <w:tcPr>
            <w:tcW w:w="1461" w:type="dxa"/>
          </w:tcPr>
          <w:p w14:paraId="2F3B2A40" w14:textId="399CDFA0" w:rsidR="0045217E" w:rsidRDefault="001375BC">
            <w:pPr>
              <w:rPr>
                <w:lang w:val="en-US"/>
              </w:rPr>
            </w:pPr>
            <w:r>
              <w:rPr>
                <w:lang w:val="en-US"/>
              </w:rPr>
              <w:t>7–8</w:t>
            </w:r>
            <w:r w:rsidR="00F02B86">
              <w:rPr>
                <w:lang w:val="en-US"/>
              </w:rPr>
              <w:t xml:space="preserve">, </w:t>
            </w:r>
            <w:r w:rsidR="00B22A6C">
              <w:rPr>
                <w:lang w:val="en-US"/>
              </w:rPr>
              <w:t>10–11</w:t>
            </w:r>
          </w:p>
        </w:tc>
      </w:tr>
      <w:tr w:rsidR="0045217E" w14:paraId="2E7A6B25" w14:textId="77777777" w:rsidTr="008C5044">
        <w:tc>
          <w:tcPr>
            <w:tcW w:w="7555" w:type="dxa"/>
          </w:tcPr>
          <w:p w14:paraId="79DD9C06" w14:textId="660A58BB" w:rsidR="0045217E" w:rsidRPr="0045217E" w:rsidRDefault="0045217E" w:rsidP="00F1226F">
            <w:pPr>
              <w:rPr>
                <w:lang w:val="en-US"/>
              </w:rPr>
            </w:pPr>
            <w:r w:rsidRPr="009B71FF">
              <w:rPr>
                <w:i/>
                <w:iCs/>
                <w:lang w:val="en-US"/>
              </w:rPr>
              <w:lastRenderedPageBreak/>
              <w:t>Description of the methods.</w:t>
            </w:r>
            <w:r w:rsidRPr="0045217E">
              <w:rPr>
                <w:lang w:val="en-US"/>
              </w:rPr>
              <w:t xml:space="preserve"> The methods employed need to be comprehensible; this includes information on preparatory steps (How was available evidence on the topic in question </w:t>
            </w:r>
            <w:proofErr w:type="spellStart"/>
            <w:r w:rsidRPr="0045217E">
              <w:rPr>
                <w:lang w:val="en-US"/>
              </w:rPr>
              <w:t>synthesised</w:t>
            </w:r>
            <w:proofErr w:type="spellEnd"/>
            <w:r w:rsidRPr="0045217E">
              <w:rPr>
                <w:lang w:val="en-US"/>
              </w:rPr>
              <w:t>?), piloting of material and survey instruments, design of the survey instrument(s), the number and design of survey rounds, methods of data analysis, processing and synthesis of experts’ responses to inform the subsequent survey round and methodological decisions taken by the research team throughout the process</w:t>
            </w:r>
          </w:p>
        </w:tc>
        <w:tc>
          <w:tcPr>
            <w:tcW w:w="1461" w:type="dxa"/>
          </w:tcPr>
          <w:p w14:paraId="45B79275" w14:textId="1D587205" w:rsidR="0045217E" w:rsidRDefault="00640D46">
            <w:pPr>
              <w:rPr>
                <w:lang w:val="en-US"/>
              </w:rPr>
            </w:pPr>
            <w:r>
              <w:rPr>
                <w:lang w:val="en-US"/>
              </w:rPr>
              <w:t>7–9</w:t>
            </w:r>
          </w:p>
        </w:tc>
      </w:tr>
      <w:tr w:rsidR="0045217E" w14:paraId="317384E3" w14:textId="77777777" w:rsidTr="008C5044">
        <w:tc>
          <w:tcPr>
            <w:tcW w:w="7555" w:type="dxa"/>
          </w:tcPr>
          <w:p w14:paraId="019523AE" w14:textId="259430E2" w:rsidR="0045217E" w:rsidRPr="0045217E" w:rsidRDefault="0045217E" w:rsidP="00F1226F">
            <w:pPr>
              <w:rPr>
                <w:lang w:val="en-US"/>
              </w:rPr>
            </w:pPr>
            <w:r w:rsidRPr="009B71FF">
              <w:rPr>
                <w:i/>
                <w:iCs/>
                <w:lang w:val="en-US"/>
              </w:rPr>
              <w:t>Procedure.</w:t>
            </w:r>
            <w:r w:rsidRPr="0045217E">
              <w:rPr>
                <w:lang w:val="en-US"/>
              </w:rPr>
              <w:t xml:space="preserve"> Flow chart to illustrate the stages of the Delphi process, including a preparatory phase, the actual ‘Delphi rounds’, interim steps of data processing and analysis, and concluding steps</w:t>
            </w:r>
          </w:p>
        </w:tc>
        <w:tc>
          <w:tcPr>
            <w:tcW w:w="1461" w:type="dxa"/>
          </w:tcPr>
          <w:p w14:paraId="51868A46" w14:textId="3F06017B" w:rsidR="00EB016C" w:rsidRDefault="00EB016C">
            <w:pPr>
              <w:rPr>
                <w:lang w:val="en-US"/>
              </w:rPr>
            </w:pPr>
            <w:r>
              <w:rPr>
                <w:lang w:val="en-US"/>
              </w:rPr>
              <w:t>14–15</w:t>
            </w:r>
          </w:p>
        </w:tc>
      </w:tr>
      <w:tr w:rsidR="0045217E" w14:paraId="5BDAA20C" w14:textId="77777777" w:rsidTr="008C5044">
        <w:tc>
          <w:tcPr>
            <w:tcW w:w="7555" w:type="dxa"/>
          </w:tcPr>
          <w:p w14:paraId="43951DE9" w14:textId="0DB23C96" w:rsidR="0045217E" w:rsidRPr="0045217E" w:rsidRDefault="009839A8" w:rsidP="00F1226F">
            <w:pPr>
              <w:rPr>
                <w:lang w:val="en-US"/>
              </w:rPr>
            </w:pPr>
            <w:r w:rsidRPr="009B71FF">
              <w:rPr>
                <w:i/>
                <w:iCs/>
                <w:lang w:val="en-US"/>
              </w:rPr>
              <w:t>Definition and attainment of consensus.</w:t>
            </w:r>
            <w:r w:rsidRPr="009839A8">
              <w:rPr>
                <w:lang w:val="en-US"/>
              </w:rPr>
              <w:t xml:space="preserve"> It needs to be comprehensible to the reader how consensus was achieved throughout the process, including strategies to deal with non-consensus</w:t>
            </w:r>
          </w:p>
        </w:tc>
        <w:tc>
          <w:tcPr>
            <w:tcW w:w="1461" w:type="dxa"/>
          </w:tcPr>
          <w:p w14:paraId="4AA94C22" w14:textId="2B8D3E56" w:rsidR="0045217E" w:rsidRDefault="00C175C1">
            <w:pPr>
              <w:rPr>
                <w:lang w:val="en-US"/>
              </w:rPr>
            </w:pPr>
            <w:r>
              <w:rPr>
                <w:lang w:val="en-US"/>
              </w:rPr>
              <w:t>11–17</w:t>
            </w:r>
          </w:p>
        </w:tc>
      </w:tr>
      <w:tr w:rsidR="009839A8" w14:paraId="39E7816D" w14:textId="77777777" w:rsidTr="008C5044">
        <w:tc>
          <w:tcPr>
            <w:tcW w:w="7555" w:type="dxa"/>
          </w:tcPr>
          <w:p w14:paraId="19726331" w14:textId="79884227" w:rsidR="009839A8" w:rsidRPr="009839A8" w:rsidRDefault="009839A8" w:rsidP="00F1226F">
            <w:pPr>
              <w:rPr>
                <w:lang w:val="en-US"/>
              </w:rPr>
            </w:pPr>
            <w:r w:rsidRPr="009B71FF">
              <w:rPr>
                <w:i/>
                <w:iCs/>
                <w:lang w:val="en-US"/>
              </w:rPr>
              <w:t>Results.</w:t>
            </w:r>
            <w:r w:rsidRPr="009839A8">
              <w:rPr>
                <w:lang w:val="en-US"/>
              </w:rPr>
              <w:t xml:space="preserve"> Reporting of results for each round separately is highly advisable </w:t>
            </w:r>
            <w:proofErr w:type="gramStart"/>
            <w:r w:rsidRPr="009839A8">
              <w:rPr>
                <w:lang w:val="en-US"/>
              </w:rPr>
              <w:t>in order to</w:t>
            </w:r>
            <w:proofErr w:type="gramEnd"/>
            <w:r w:rsidRPr="009839A8">
              <w:rPr>
                <w:lang w:val="en-US"/>
              </w:rPr>
              <w:t xml:space="preserve"> make the evolving of consensus over the rounds transparent. This includes figures showing the average group response, changes between rounds, as well as any modifications of the survey instrument such as deletion, addition or modification of survey items based on previous rounds</w:t>
            </w:r>
          </w:p>
        </w:tc>
        <w:tc>
          <w:tcPr>
            <w:tcW w:w="1461" w:type="dxa"/>
          </w:tcPr>
          <w:p w14:paraId="54541CF3" w14:textId="61D33C9E" w:rsidR="009839A8" w:rsidRDefault="00965027">
            <w:pPr>
              <w:rPr>
                <w:lang w:val="en-US"/>
              </w:rPr>
            </w:pPr>
            <w:r>
              <w:rPr>
                <w:lang w:val="en-US"/>
              </w:rPr>
              <w:t>11–20</w:t>
            </w:r>
          </w:p>
        </w:tc>
      </w:tr>
      <w:tr w:rsidR="009839A8" w14:paraId="6CFB79D5" w14:textId="77777777" w:rsidTr="008C5044">
        <w:tc>
          <w:tcPr>
            <w:tcW w:w="7555" w:type="dxa"/>
          </w:tcPr>
          <w:p w14:paraId="130D844B" w14:textId="07547096" w:rsidR="009839A8" w:rsidRPr="009839A8" w:rsidRDefault="009839A8" w:rsidP="009839A8">
            <w:pPr>
              <w:rPr>
                <w:lang w:val="en-US"/>
              </w:rPr>
            </w:pPr>
            <w:r w:rsidRPr="009B71FF">
              <w:rPr>
                <w:i/>
                <w:iCs/>
                <w:lang w:val="en-US"/>
              </w:rPr>
              <w:t>Discussion of limitations.</w:t>
            </w:r>
            <w:r w:rsidRPr="009839A8">
              <w:rPr>
                <w:lang w:val="en-US"/>
              </w:rPr>
              <w:t xml:space="preserve"> Reporting should include a critical reflection of potential limitations and their impact of the resulting </w:t>
            </w:r>
            <w:r>
              <w:rPr>
                <w:lang w:val="en-US"/>
              </w:rPr>
              <w:t>g</w:t>
            </w:r>
            <w:r w:rsidRPr="009839A8">
              <w:rPr>
                <w:lang w:val="en-US"/>
              </w:rPr>
              <w:t>uidance</w:t>
            </w:r>
          </w:p>
        </w:tc>
        <w:tc>
          <w:tcPr>
            <w:tcW w:w="1461" w:type="dxa"/>
          </w:tcPr>
          <w:p w14:paraId="0898E7A6" w14:textId="3155F645" w:rsidR="009839A8" w:rsidRDefault="00826751">
            <w:pPr>
              <w:rPr>
                <w:lang w:val="en-US"/>
              </w:rPr>
            </w:pPr>
            <w:r>
              <w:rPr>
                <w:lang w:val="en-US"/>
              </w:rPr>
              <w:t>25–26</w:t>
            </w:r>
          </w:p>
        </w:tc>
      </w:tr>
      <w:tr w:rsidR="009839A8" w14:paraId="0AE060E4" w14:textId="77777777" w:rsidTr="008C5044">
        <w:tc>
          <w:tcPr>
            <w:tcW w:w="7555" w:type="dxa"/>
          </w:tcPr>
          <w:p w14:paraId="16E538E9" w14:textId="711C5C51" w:rsidR="009839A8" w:rsidRPr="009839A8" w:rsidRDefault="0041566A" w:rsidP="00F1226F">
            <w:pPr>
              <w:rPr>
                <w:lang w:val="en-US"/>
              </w:rPr>
            </w:pPr>
            <w:r w:rsidRPr="009B71FF">
              <w:rPr>
                <w:i/>
                <w:iCs/>
                <w:lang w:val="en-US"/>
              </w:rPr>
              <w:t>Adequacy of conclusions.</w:t>
            </w:r>
            <w:r w:rsidRPr="0041566A">
              <w:rPr>
                <w:lang w:val="en-US"/>
              </w:rPr>
              <w:t xml:space="preserve"> The conclusions should adequately reflect the outcomes of the Delphi study with a view to the scope and applicability of the resulting practice guidance</w:t>
            </w:r>
          </w:p>
        </w:tc>
        <w:tc>
          <w:tcPr>
            <w:tcW w:w="1461" w:type="dxa"/>
          </w:tcPr>
          <w:p w14:paraId="72C501BB" w14:textId="143CB376" w:rsidR="009839A8" w:rsidRDefault="00826751">
            <w:pPr>
              <w:rPr>
                <w:lang w:val="en-US"/>
              </w:rPr>
            </w:pPr>
            <w:r>
              <w:rPr>
                <w:lang w:val="en-US"/>
              </w:rPr>
              <w:t>26</w:t>
            </w:r>
          </w:p>
        </w:tc>
      </w:tr>
      <w:tr w:rsidR="0041566A" w14:paraId="3BB20F89" w14:textId="77777777" w:rsidTr="008C5044">
        <w:tc>
          <w:tcPr>
            <w:tcW w:w="7555" w:type="dxa"/>
          </w:tcPr>
          <w:p w14:paraId="3B5EBCE2" w14:textId="64AF1D89" w:rsidR="0041566A" w:rsidRPr="0041566A" w:rsidRDefault="0041566A" w:rsidP="00F1226F">
            <w:pPr>
              <w:rPr>
                <w:lang w:val="en-US"/>
              </w:rPr>
            </w:pPr>
            <w:r w:rsidRPr="009B71FF">
              <w:rPr>
                <w:i/>
                <w:iCs/>
                <w:lang w:val="en-US"/>
              </w:rPr>
              <w:t>Publication and dissemination.</w:t>
            </w:r>
            <w:r w:rsidRPr="0041566A">
              <w:rPr>
                <w:lang w:val="en-US"/>
              </w:rPr>
              <w:t xml:space="preserve"> The resulting guidance on good practice in palliative care should be clearly identifiable from the publication, including recommendations for transfer into practice and implementation. If the publication does not allow for a detailed presentation of either the resulting practice guidance or the methodological features of the applied Delphi technique, or both, reference to a more detailed presentation elsewhere should be made (e.g. availability of the full guideline from the authors or online; publication of a separate paper reporting on methodological details and particularities of the process (e.g. persistent disagreement and controversy on certain issues)). A dissemination plan should include endorsement of </w:t>
            </w:r>
            <w:proofErr w:type="gramStart"/>
            <w:r w:rsidRPr="0041566A">
              <w:rPr>
                <w:lang w:val="en-US"/>
              </w:rPr>
              <w:t>the guidance</w:t>
            </w:r>
            <w:proofErr w:type="gramEnd"/>
            <w:r w:rsidRPr="0041566A">
              <w:rPr>
                <w:lang w:val="en-US"/>
              </w:rPr>
              <w:t xml:space="preserve"> by professional associations and health care authorities to facilitate implementation</w:t>
            </w:r>
          </w:p>
        </w:tc>
        <w:tc>
          <w:tcPr>
            <w:tcW w:w="1461" w:type="dxa"/>
          </w:tcPr>
          <w:p w14:paraId="3C80FE8C" w14:textId="459577A3" w:rsidR="0041566A" w:rsidRDefault="00AE3064">
            <w:pPr>
              <w:rPr>
                <w:lang w:val="en-US"/>
              </w:rPr>
            </w:pPr>
            <w:r>
              <w:rPr>
                <w:lang w:val="en-US"/>
              </w:rPr>
              <w:t>9</w:t>
            </w:r>
          </w:p>
        </w:tc>
      </w:tr>
    </w:tbl>
    <w:p w14:paraId="0FA33640" w14:textId="77777777" w:rsidR="001B525E" w:rsidRDefault="001B525E" w:rsidP="00C300D2">
      <w:pPr>
        <w:pStyle w:val="EndNoteBibliography"/>
        <w:ind w:left="720" w:hanging="720"/>
      </w:pPr>
    </w:p>
    <w:p w14:paraId="5DCDF4B7" w14:textId="18C31903" w:rsidR="00C300D2" w:rsidRPr="00C300D2" w:rsidRDefault="00C300D2" w:rsidP="00C300D2">
      <w:pPr>
        <w:pStyle w:val="EndNoteBibliography"/>
        <w:ind w:left="720" w:hanging="720"/>
      </w:pPr>
      <w:r>
        <w:fldChar w:fldCharType="begin"/>
      </w:r>
      <w:r>
        <w:instrText xml:space="preserve"> ADDIN EN.REFLIST </w:instrText>
      </w:r>
      <w:r>
        <w:fldChar w:fldCharType="separate"/>
      </w:r>
      <w:r w:rsidRPr="00C300D2">
        <w:t>1.</w:t>
      </w:r>
      <w:r w:rsidRPr="00C300D2">
        <w:tab/>
        <w:t xml:space="preserve">Jünger S, Payne SA, Brine J, Radbruch L, Brearley SG: </w:t>
      </w:r>
      <w:r w:rsidRPr="00C300D2">
        <w:rPr>
          <w:b/>
        </w:rPr>
        <w:t>Guidance on Conducting and REporting DElphi Studies (CREDES) in palliative care: Recommendations based on a methodological systematic review.</w:t>
      </w:r>
      <w:r w:rsidRPr="00C300D2">
        <w:t xml:space="preserve"> </w:t>
      </w:r>
      <w:r w:rsidRPr="00C300D2">
        <w:rPr>
          <w:i/>
        </w:rPr>
        <w:t xml:space="preserve">Palliat Med </w:t>
      </w:r>
      <w:r w:rsidRPr="00C300D2">
        <w:t xml:space="preserve">2017, </w:t>
      </w:r>
      <w:r w:rsidRPr="00C300D2">
        <w:rPr>
          <w:b/>
        </w:rPr>
        <w:t>31:</w:t>
      </w:r>
      <w:r w:rsidRPr="00C300D2">
        <w:t>684-706.</w:t>
      </w:r>
    </w:p>
    <w:p w14:paraId="4E5896FC" w14:textId="464D95F6" w:rsidR="0033537A" w:rsidRPr="0033537A" w:rsidRDefault="00C300D2">
      <w:pPr>
        <w:rPr>
          <w:lang w:val="en-US"/>
        </w:rPr>
      </w:pPr>
      <w:r>
        <w:rPr>
          <w:lang w:val="en-US"/>
        </w:rPr>
        <w:fldChar w:fldCharType="end"/>
      </w:r>
    </w:p>
    <w:sectPr w:rsidR="0033537A" w:rsidRPr="0033537A" w:rsidSect="00A635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Malaria J&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ax2e20aswevt3ewwewvzzxd5525a22a25ws&quot;&gt;My EndNote Library for PhD&lt;record-ids&gt;&lt;item&gt;213&lt;/item&gt;&lt;/record-ids&gt;&lt;/item&gt;&lt;/Libraries&gt;"/>
  </w:docVars>
  <w:rsids>
    <w:rsidRoot w:val="00DB16BD"/>
    <w:rsid w:val="0000309B"/>
    <w:rsid w:val="000C767F"/>
    <w:rsid w:val="000C76AE"/>
    <w:rsid w:val="001375BC"/>
    <w:rsid w:val="001B525E"/>
    <w:rsid w:val="001F4467"/>
    <w:rsid w:val="002D0F74"/>
    <w:rsid w:val="002F59A2"/>
    <w:rsid w:val="00303165"/>
    <w:rsid w:val="0033537A"/>
    <w:rsid w:val="00396C41"/>
    <w:rsid w:val="0041566A"/>
    <w:rsid w:val="004206FE"/>
    <w:rsid w:val="0045217E"/>
    <w:rsid w:val="00555839"/>
    <w:rsid w:val="005D4C3F"/>
    <w:rsid w:val="00603BF0"/>
    <w:rsid w:val="00640D46"/>
    <w:rsid w:val="00701404"/>
    <w:rsid w:val="00712530"/>
    <w:rsid w:val="00787527"/>
    <w:rsid w:val="007C2925"/>
    <w:rsid w:val="00826751"/>
    <w:rsid w:val="008424A5"/>
    <w:rsid w:val="008C5044"/>
    <w:rsid w:val="008E31E1"/>
    <w:rsid w:val="009475EB"/>
    <w:rsid w:val="00965027"/>
    <w:rsid w:val="00967C06"/>
    <w:rsid w:val="009839A8"/>
    <w:rsid w:val="009B39A2"/>
    <w:rsid w:val="009B71FF"/>
    <w:rsid w:val="009C34C7"/>
    <w:rsid w:val="00A42203"/>
    <w:rsid w:val="00A6359F"/>
    <w:rsid w:val="00A755A4"/>
    <w:rsid w:val="00AE0C5D"/>
    <w:rsid w:val="00AE3064"/>
    <w:rsid w:val="00B10801"/>
    <w:rsid w:val="00B22A6C"/>
    <w:rsid w:val="00B8624D"/>
    <w:rsid w:val="00BA4E90"/>
    <w:rsid w:val="00BC094C"/>
    <w:rsid w:val="00BF1B60"/>
    <w:rsid w:val="00C175C1"/>
    <w:rsid w:val="00C300D2"/>
    <w:rsid w:val="00C4572B"/>
    <w:rsid w:val="00C56ED6"/>
    <w:rsid w:val="00C60DC5"/>
    <w:rsid w:val="00C63B55"/>
    <w:rsid w:val="00D01A25"/>
    <w:rsid w:val="00DB16BD"/>
    <w:rsid w:val="00EB016C"/>
    <w:rsid w:val="00ED750E"/>
    <w:rsid w:val="00F02B86"/>
    <w:rsid w:val="00F1226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28317"/>
  <w15:chartTrackingRefBased/>
  <w15:docId w15:val="{9ACB8DFF-1E86-436E-B8D2-0E0431690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AU" w:eastAsia="en-US" w:bidi="ar-SA"/>
        <w14:ligatures w14:val="standardContextual"/>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F74"/>
  </w:style>
  <w:style w:type="paragraph" w:styleId="Heading1">
    <w:name w:val="heading 1"/>
    <w:basedOn w:val="Normal"/>
    <w:next w:val="Normal"/>
    <w:link w:val="Heading1Char"/>
    <w:uiPriority w:val="9"/>
    <w:qFormat/>
    <w:rsid w:val="00C60DC5"/>
    <w:pPr>
      <w:keepNext/>
      <w:keepLines/>
      <w:jc w:val="center"/>
      <w:outlineLvl w:val="0"/>
    </w:pPr>
    <w:rPr>
      <w:rFonts w:eastAsiaTheme="majorEastAsia" w:cstheme="majorBidi"/>
      <w:b/>
      <w:color w:val="153D63" w:themeColor="text2" w:themeTint="E6"/>
      <w:sz w:val="28"/>
      <w:szCs w:val="40"/>
    </w:rPr>
  </w:style>
  <w:style w:type="paragraph" w:styleId="Heading2">
    <w:name w:val="heading 2"/>
    <w:basedOn w:val="Normal"/>
    <w:next w:val="Normal"/>
    <w:link w:val="Heading2Char"/>
    <w:uiPriority w:val="9"/>
    <w:unhideWhenUsed/>
    <w:qFormat/>
    <w:rsid w:val="00C60DC5"/>
    <w:pPr>
      <w:keepNext/>
      <w:keepLines/>
      <w:outlineLvl w:val="1"/>
    </w:pPr>
    <w:rPr>
      <w:rFonts w:eastAsiaTheme="majorEastAsia" w:cstheme="majorBidi"/>
      <w:b/>
      <w:color w:val="215E99" w:themeColor="text2" w:themeTint="BF"/>
      <w:szCs w:val="32"/>
    </w:rPr>
  </w:style>
  <w:style w:type="paragraph" w:styleId="Heading3">
    <w:name w:val="heading 3"/>
    <w:basedOn w:val="Normal"/>
    <w:next w:val="Normal"/>
    <w:link w:val="Heading3Char"/>
    <w:uiPriority w:val="9"/>
    <w:unhideWhenUsed/>
    <w:qFormat/>
    <w:rsid w:val="00C60DC5"/>
    <w:pPr>
      <w:keepNext/>
      <w:keepLines/>
      <w:outlineLvl w:val="2"/>
    </w:pPr>
    <w:rPr>
      <w:rFonts w:eastAsiaTheme="majorEastAsia" w:cstheme="majorBidi"/>
      <w:i/>
      <w:color w:val="215E99" w:themeColor="text2" w:themeTint="BF"/>
      <w:szCs w:val="28"/>
    </w:rPr>
  </w:style>
  <w:style w:type="paragraph" w:styleId="Heading4">
    <w:name w:val="heading 4"/>
    <w:basedOn w:val="Normal"/>
    <w:next w:val="Normal"/>
    <w:link w:val="Heading4Char"/>
    <w:uiPriority w:val="9"/>
    <w:unhideWhenUsed/>
    <w:qFormat/>
    <w:rsid w:val="00C60DC5"/>
    <w:pPr>
      <w:keepNext/>
      <w:keepLines/>
      <w:outlineLvl w:val="3"/>
    </w:pPr>
    <w:rPr>
      <w:rFonts w:eastAsiaTheme="majorEastAsia" w:cstheme="majorBidi"/>
      <w:i/>
      <w:iCs/>
      <w:color w:val="215E99" w:themeColor="text2" w:themeTint="BF"/>
    </w:rPr>
  </w:style>
  <w:style w:type="paragraph" w:styleId="Heading5">
    <w:name w:val="heading 5"/>
    <w:basedOn w:val="Normal"/>
    <w:next w:val="Normal"/>
    <w:link w:val="Heading5Char"/>
    <w:uiPriority w:val="9"/>
    <w:semiHidden/>
    <w:unhideWhenUsed/>
    <w:qFormat/>
    <w:rsid w:val="00DB16B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B16B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B16B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B16B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B16B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C60DC5"/>
    <w:pPr>
      <w:spacing w:line="240" w:lineRule="auto"/>
    </w:pPr>
    <w:rPr>
      <w:b/>
      <w:iCs/>
      <w:color w:val="215E99" w:themeColor="text2" w:themeTint="BF"/>
      <w:szCs w:val="18"/>
    </w:rPr>
  </w:style>
  <w:style w:type="character" w:customStyle="1" w:styleId="Heading1Char">
    <w:name w:val="Heading 1 Char"/>
    <w:basedOn w:val="DefaultParagraphFont"/>
    <w:link w:val="Heading1"/>
    <w:uiPriority w:val="9"/>
    <w:rsid w:val="00C60DC5"/>
    <w:rPr>
      <w:rFonts w:eastAsiaTheme="majorEastAsia" w:cstheme="majorBidi"/>
      <w:b/>
      <w:color w:val="153D63" w:themeColor="text2" w:themeTint="E6"/>
      <w:sz w:val="28"/>
      <w:szCs w:val="40"/>
    </w:rPr>
  </w:style>
  <w:style w:type="character" w:customStyle="1" w:styleId="Heading2Char">
    <w:name w:val="Heading 2 Char"/>
    <w:basedOn w:val="DefaultParagraphFont"/>
    <w:link w:val="Heading2"/>
    <w:uiPriority w:val="9"/>
    <w:rsid w:val="00C60DC5"/>
    <w:rPr>
      <w:rFonts w:eastAsiaTheme="majorEastAsia" w:cstheme="majorBidi"/>
      <w:b/>
      <w:color w:val="215E99" w:themeColor="text2" w:themeTint="BF"/>
      <w:szCs w:val="32"/>
    </w:rPr>
  </w:style>
  <w:style w:type="character" w:customStyle="1" w:styleId="Heading3Char">
    <w:name w:val="Heading 3 Char"/>
    <w:basedOn w:val="DefaultParagraphFont"/>
    <w:link w:val="Heading3"/>
    <w:uiPriority w:val="9"/>
    <w:rsid w:val="00C60DC5"/>
    <w:rPr>
      <w:rFonts w:eastAsiaTheme="majorEastAsia" w:cstheme="majorBidi"/>
      <w:i/>
      <w:color w:val="215E99" w:themeColor="text2" w:themeTint="BF"/>
      <w:szCs w:val="28"/>
    </w:rPr>
  </w:style>
  <w:style w:type="character" w:customStyle="1" w:styleId="Heading4Char">
    <w:name w:val="Heading 4 Char"/>
    <w:basedOn w:val="DefaultParagraphFont"/>
    <w:link w:val="Heading4"/>
    <w:uiPriority w:val="9"/>
    <w:rsid w:val="00C60DC5"/>
    <w:rPr>
      <w:rFonts w:eastAsiaTheme="majorEastAsia" w:cstheme="majorBidi"/>
      <w:i/>
      <w:iCs/>
      <w:color w:val="215E99" w:themeColor="text2" w:themeTint="BF"/>
    </w:rPr>
  </w:style>
  <w:style w:type="paragraph" w:styleId="Title">
    <w:name w:val="Title"/>
    <w:basedOn w:val="Normal"/>
    <w:next w:val="Normal"/>
    <w:link w:val="TitleChar"/>
    <w:uiPriority w:val="10"/>
    <w:qFormat/>
    <w:rsid w:val="00BF1B60"/>
    <w:pPr>
      <w:spacing w:line="240" w:lineRule="auto"/>
      <w:contextualSpacing/>
    </w:pPr>
    <w:rPr>
      <w:rFonts w:eastAsiaTheme="majorEastAsia" w:cstheme="majorBidi"/>
      <w:b/>
      <w:color w:val="215E99" w:themeColor="text2" w:themeTint="BF"/>
      <w:spacing w:val="-10"/>
      <w:kern w:val="28"/>
      <w:szCs w:val="56"/>
    </w:rPr>
  </w:style>
  <w:style w:type="character" w:customStyle="1" w:styleId="TitleChar">
    <w:name w:val="Title Char"/>
    <w:basedOn w:val="DefaultParagraphFont"/>
    <w:link w:val="Title"/>
    <w:uiPriority w:val="10"/>
    <w:rsid w:val="00BF1B60"/>
    <w:rPr>
      <w:rFonts w:eastAsiaTheme="majorEastAsia" w:cstheme="majorBidi"/>
      <w:b/>
      <w:color w:val="215E99" w:themeColor="text2" w:themeTint="BF"/>
      <w:spacing w:val="-10"/>
      <w:kern w:val="28"/>
      <w:szCs w:val="56"/>
    </w:rPr>
  </w:style>
  <w:style w:type="character" w:customStyle="1" w:styleId="Heading5Char">
    <w:name w:val="Heading 5 Char"/>
    <w:basedOn w:val="DefaultParagraphFont"/>
    <w:link w:val="Heading5"/>
    <w:uiPriority w:val="9"/>
    <w:semiHidden/>
    <w:rsid w:val="00DB16B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B16B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B16B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B16B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B16BD"/>
    <w:rPr>
      <w:rFonts w:asciiTheme="minorHAnsi" w:eastAsiaTheme="majorEastAsia" w:hAnsiTheme="minorHAnsi" w:cstheme="majorBidi"/>
      <w:color w:val="272727" w:themeColor="text1" w:themeTint="D8"/>
    </w:rPr>
  </w:style>
  <w:style w:type="paragraph" w:styleId="Subtitle">
    <w:name w:val="Subtitle"/>
    <w:basedOn w:val="Normal"/>
    <w:next w:val="Normal"/>
    <w:link w:val="SubtitleChar"/>
    <w:uiPriority w:val="11"/>
    <w:qFormat/>
    <w:rsid w:val="00DB16B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16B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B16B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B16BD"/>
    <w:rPr>
      <w:i/>
      <w:iCs/>
      <w:color w:val="404040" w:themeColor="text1" w:themeTint="BF"/>
    </w:rPr>
  </w:style>
  <w:style w:type="paragraph" w:styleId="ListParagraph">
    <w:name w:val="List Paragraph"/>
    <w:basedOn w:val="Normal"/>
    <w:uiPriority w:val="34"/>
    <w:qFormat/>
    <w:rsid w:val="00DB16BD"/>
    <w:pPr>
      <w:ind w:left="720"/>
      <w:contextualSpacing/>
    </w:pPr>
  </w:style>
  <w:style w:type="character" w:styleId="IntenseEmphasis">
    <w:name w:val="Intense Emphasis"/>
    <w:basedOn w:val="DefaultParagraphFont"/>
    <w:uiPriority w:val="21"/>
    <w:qFormat/>
    <w:rsid w:val="00DB16BD"/>
    <w:rPr>
      <w:i/>
      <w:iCs/>
      <w:color w:val="0F4761" w:themeColor="accent1" w:themeShade="BF"/>
    </w:rPr>
  </w:style>
  <w:style w:type="paragraph" w:styleId="IntenseQuote">
    <w:name w:val="Intense Quote"/>
    <w:basedOn w:val="Normal"/>
    <w:next w:val="Normal"/>
    <w:link w:val="IntenseQuoteChar"/>
    <w:uiPriority w:val="30"/>
    <w:qFormat/>
    <w:rsid w:val="00DB16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16BD"/>
    <w:rPr>
      <w:i/>
      <w:iCs/>
      <w:color w:val="0F4761" w:themeColor="accent1" w:themeShade="BF"/>
    </w:rPr>
  </w:style>
  <w:style w:type="character" w:styleId="IntenseReference">
    <w:name w:val="Intense Reference"/>
    <w:basedOn w:val="DefaultParagraphFont"/>
    <w:uiPriority w:val="32"/>
    <w:qFormat/>
    <w:rsid w:val="00DB16BD"/>
    <w:rPr>
      <w:b/>
      <w:bCs/>
      <w:smallCaps/>
      <w:color w:val="0F4761" w:themeColor="accent1" w:themeShade="BF"/>
      <w:spacing w:val="5"/>
    </w:rPr>
  </w:style>
  <w:style w:type="paragraph" w:customStyle="1" w:styleId="EndNoteBibliographyTitle">
    <w:name w:val="EndNote Bibliography Title"/>
    <w:basedOn w:val="Normal"/>
    <w:link w:val="EndNoteBibliographyTitleChar"/>
    <w:rsid w:val="00C300D2"/>
    <w:pPr>
      <w:jc w:val="center"/>
    </w:pPr>
    <w:rPr>
      <w:rFonts w:cs="Times New Roman"/>
      <w:noProof/>
      <w:lang w:val="en-US"/>
    </w:rPr>
  </w:style>
  <w:style w:type="character" w:customStyle="1" w:styleId="EndNoteBibliographyTitleChar">
    <w:name w:val="EndNote Bibliography Title Char"/>
    <w:basedOn w:val="DefaultParagraphFont"/>
    <w:link w:val="EndNoteBibliographyTitle"/>
    <w:rsid w:val="00C300D2"/>
    <w:rPr>
      <w:rFonts w:cs="Times New Roman"/>
      <w:noProof/>
      <w:lang w:val="en-US"/>
    </w:rPr>
  </w:style>
  <w:style w:type="paragraph" w:customStyle="1" w:styleId="EndNoteBibliography">
    <w:name w:val="EndNote Bibliography"/>
    <w:basedOn w:val="Normal"/>
    <w:link w:val="EndNoteBibliographyChar"/>
    <w:rsid w:val="00C300D2"/>
    <w:pPr>
      <w:spacing w:line="240" w:lineRule="auto"/>
    </w:pPr>
    <w:rPr>
      <w:rFonts w:cs="Times New Roman"/>
      <w:noProof/>
      <w:lang w:val="en-US"/>
    </w:rPr>
  </w:style>
  <w:style w:type="character" w:customStyle="1" w:styleId="EndNoteBibliographyChar">
    <w:name w:val="EndNote Bibliography Char"/>
    <w:basedOn w:val="DefaultParagraphFont"/>
    <w:link w:val="EndNoteBibliography"/>
    <w:rsid w:val="00C300D2"/>
    <w:rPr>
      <w:rFonts w:cs="Times New Roman"/>
      <w:noProof/>
      <w:lang w:val="en-US"/>
    </w:rPr>
  </w:style>
  <w:style w:type="table" w:styleId="TableGrid">
    <w:name w:val="Table Grid"/>
    <w:basedOn w:val="TableNormal"/>
    <w:uiPriority w:val="39"/>
    <w:rsid w:val="00C300D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854</Words>
  <Characters>4872</Characters>
  <Application>Microsoft Office Word</Application>
  <DocSecurity>0</DocSecurity>
  <Lines>40</Lines>
  <Paragraphs>11</Paragraphs>
  <ScaleCrop>false</ScaleCrop>
  <Company/>
  <LinksUpToDate>false</LinksUpToDate>
  <CharactersWithSpaces>5715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 Htike</dc:creator>
  <cp:keywords/>
  <dc:description/>
  <cp:lastModifiedBy>Win Htike</cp:lastModifiedBy>
  <cp:revision>36</cp:revision>
  <dcterms:created xsi:type="dcterms:W3CDTF">2025-11-19T14:00:00Z</dcterms:created>
  <dcterms:modified xsi:type="dcterms:W3CDTF">2026-04-21T12:29:00Z</dcterms:modified>
</cp:coreProperties>
</file>