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68BB4" w14:textId="77777777" w:rsidR="00013A47" w:rsidRPr="007D476B" w:rsidRDefault="00013A47" w:rsidP="00013A4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A3C9B">
        <w:rPr>
          <w:rFonts w:ascii="Times New Roman" w:hAnsi="Times New Roman" w:cs="Times New Roman" w:hint="eastAsia"/>
          <w:b/>
          <w:bCs/>
          <w:sz w:val="24"/>
          <w:szCs w:val="24"/>
        </w:rPr>
        <w:t>Supplementary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7D476B">
        <w:rPr>
          <w:rFonts w:ascii="Times New Roman" w:hAnsi="Times New Roman" w:cs="Times New Roman" w:hint="eastAsia"/>
          <w:b/>
          <w:bCs/>
          <w:sz w:val="24"/>
          <w:szCs w:val="24"/>
        </w:rPr>
        <w:t>Figure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7D476B">
        <w:rPr>
          <w:rFonts w:ascii="Times New Roman" w:hAnsi="Times New Roman" w:cs="Times New Roman" w:hint="eastAsia"/>
          <w:b/>
          <w:bCs/>
          <w:sz w:val="24"/>
          <w:szCs w:val="24"/>
        </w:rPr>
        <w:t>:</w:t>
      </w:r>
    </w:p>
    <w:p w14:paraId="6D5A6A5B" w14:textId="77777777" w:rsidR="00013A47" w:rsidRPr="006A3C9B" w:rsidRDefault="00013A47" w:rsidP="00013A4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B4E1AA5" wp14:editId="794669D8">
            <wp:extent cx="5274310" cy="2646045"/>
            <wp:effectExtent l="0" t="0" r="2540" b="1905"/>
            <wp:docPr id="4078186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4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F0976" w14:textId="77777777" w:rsidR="00013A47" w:rsidRPr="007D476B" w:rsidRDefault="00013A47" w:rsidP="00013A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476B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7D476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7D47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476B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7D476B">
        <w:rPr>
          <w:rFonts w:ascii="Times New Roman" w:hAnsi="Times New Roman" w:cs="Times New Roman"/>
          <w:b/>
          <w:bCs/>
          <w:sz w:val="24"/>
          <w:szCs w:val="24"/>
        </w:rPr>
        <w:t>1 Quality control assessment of single-cell transcriptomic data. (A)</w:t>
      </w:r>
      <w:r w:rsidRPr="007D476B">
        <w:rPr>
          <w:rFonts w:ascii="Times New Roman" w:hAnsi="Times New Roman" w:cs="Times New Roman"/>
          <w:sz w:val="24"/>
          <w:szCs w:val="24"/>
        </w:rPr>
        <w:t xml:space="preserve"> Violin plots showing the distribution of the number of detected molecules per cell (nCount_RNA) in each sample.</w:t>
      </w:r>
      <w:r w:rsidRPr="007D476B">
        <w:rPr>
          <w:rFonts w:ascii="Times New Roman" w:hAnsi="Times New Roman" w:cs="Times New Roman"/>
          <w:b/>
          <w:bCs/>
          <w:sz w:val="24"/>
          <w:szCs w:val="24"/>
        </w:rPr>
        <w:t xml:space="preserve"> (B)</w:t>
      </w:r>
      <w:r w:rsidRPr="007D476B">
        <w:rPr>
          <w:rFonts w:ascii="Times New Roman" w:hAnsi="Times New Roman" w:cs="Times New Roman"/>
          <w:sz w:val="24"/>
          <w:szCs w:val="24"/>
        </w:rPr>
        <w:t xml:space="preserve"> Violin plots showing the distribution of the percentage of mitochondrial gene expression (percent.mt) in each sample.</w:t>
      </w:r>
    </w:p>
    <w:p w14:paraId="160ADCFF" w14:textId="77777777" w:rsidR="00013A47" w:rsidRDefault="00013A47" w:rsidP="00013A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CCD00B" w14:textId="77777777" w:rsidR="00013A47" w:rsidRPr="007D476B" w:rsidRDefault="00013A47" w:rsidP="00013A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9F6E90A" wp14:editId="50056026">
            <wp:extent cx="5274310" cy="3053080"/>
            <wp:effectExtent l="0" t="0" r="2540" b="0"/>
            <wp:docPr id="50901673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612B0" w14:textId="77777777" w:rsidR="00013A47" w:rsidRPr="007D476B" w:rsidRDefault="00013A47" w:rsidP="00013A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D476B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7D476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7D47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476B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7D476B">
        <w:rPr>
          <w:rFonts w:ascii="Times New Roman" w:hAnsi="Times New Roman" w:cs="Times New Roman"/>
          <w:b/>
          <w:bCs/>
          <w:sz w:val="24"/>
          <w:szCs w:val="24"/>
        </w:rPr>
        <w:t>2 Differences between PBMC-derived and tumor-derived normal B cells. (A)</w:t>
      </w:r>
      <w:r w:rsidRPr="007D476B">
        <w:rPr>
          <w:rFonts w:ascii="Times New Roman" w:hAnsi="Times New Roman" w:cs="Times New Roman"/>
          <w:sz w:val="24"/>
          <w:szCs w:val="24"/>
        </w:rPr>
        <w:t xml:space="preserve"> Heatmap showing differences in gene expression between the two groups of normal B cells, highlighting pathways related to MHC class II protein complex assembly and antigen processing and presentation.</w:t>
      </w:r>
      <w:r w:rsidRPr="007D476B">
        <w:rPr>
          <w:rFonts w:ascii="Times New Roman" w:hAnsi="Times New Roman" w:cs="Times New Roman"/>
          <w:b/>
          <w:bCs/>
          <w:sz w:val="24"/>
          <w:szCs w:val="24"/>
        </w:rPr>
        <w:t xml:space="preserve"> (B)</w:t>
      </w:r>
      <w:r w:rsidRPr="007D476B">
        <w:rPr>
          <w:rFonts w:ascii="Times New Roman" w:hAnsi="Times New Roman" w:cs="Times New Roman"/>
          <w:sz w:val="24"/>
          <w:szCs w:val="24"/>
        </w:rPr>
        <w:t xml:space="preserve"> Dot plot comparing the expression of key </w:t>
      </w:r>
      <w:r w:rsidRPr="007D476B">
        <w:rPr>
          <w:rFonts w:ascii="Times New Roman" w:hAnsi="Times New Roman" w:cs="Times New Roman"/>
          <w:sz w:val="24"/>
          <w:szCs w:val="24"/>
        </w:rPr>
        <w:lastRenderedPageBreak/>
        <w:t>MHC class II molecules between the two groups of normal B cells.</w:t>
      </w:r>
    </w:p>
    <w:p w14:paraId="5E179180" w14:textId="77777777" w:rsidR="00013A47" w:rsidRDefault="00013A47" w:rsidP="00013A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935B1BE" w14:textId="77777777" w:rsidR="00013A47" w:rsidRPr="007D476B" w:rsidRDefault="00013A47" w:rsidP="00013A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0D56304" wp14:editId="1326BBF5">
            <wp:extent cx="5274310" cy="2273300"/>
            <wp:effectExtent l="0" t="0" r="2540" b="0"/>
            <wp:docPr id="144323088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7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0ADF3" w14:textId="77777777" w:rsidR="00013A47" w:rsidRPr="009D4AC1" w:rsidRDefault="00013A47" w:rsidP="00013A47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476B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7D476B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Pr="007D47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476B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7D476B">
        <w:rPr>
          <w:rFonts w:ascii="Times New Roman" w:hAnsi="Times New Roman" w:cs="Times New Roman"/>
          <w:b/>
          <w:bCs/>
          <w:sz w:val="24"/>
          <w:szCs w:val="24"/>
        </w:rPr>
        <w:t>3 Distribution of macrophages across different sample types and expression characteristics of tissue-resident marker genes. (A)</w:t>
      </w:r>
      <w:r w:rsidRPr="007D476B">
        <w:rPr>
          <w:rFonts w:ascii="Times New Roman" w:hAnsi="Times New Roman" w:cs="Times New Roman"/>
          <w:sz w:val="24"/>
          <w:szCs w:val="24"/>
        </w:rPr>
        <w:t xml:space="preserve"> UMAP visualization of macrophages colored by sample origin: normal testis (red), PBMC (green), and TDLBL tumor (blue), showing distinct distribution patterns.</w:t>
      </w:r>
      <w:r w:rsidRPr="007D476B">
        <w:rPr>
          <w:rFonts w:ascii="Times New Roman" w:hAnsi="Times New Roman" w:cs="Times New Roman"/>
          <w:b/>
          <w:bCs/>
          <w:sz w:val="24"/>
          <w:szCs w:val="24"/>
        </w:rPr>
        <w:t xml:space="preserve"> (B)</w:t>
      </w:r>
      <w:r w:rsidRPr="007D476B">
        <w:rPr>
          <w:rFonts w:ascii="Times New Roman" w:hAnsi="Times New Roman" w:cs="Times New Roman"/>
          <w:sz w:val="24"/>
          <w:szCs w:val="24"/>
        </w:rPr>
        <w:t xml:space="preserve"> UMAP plot showing the expression of the tissue-resident macrophage marker </w:t>
      </w:r>
      <w:r w:rsidRPr="007D476B">
        <w:rPr>
          <w:rFonts w:ascii="Times New Roman" w:hAnsi="Times New Roman" w:cs="Times New Roman"/>
          <w:i/>
          <w:iCs/>
          <w:sz w:val="24"/>
          <w:szCs w:val="24"/>
        </w:rPr>
        <w:t>FOLR2</w:t>
      </w:r>
      <w:r w:rsidRPr="007D476B">
        <w:rPr>
          <w:rFonts w:ascii="Times New Roman" w:hAnsi="Times New Roman" w:cs="Times New Roman"/>
          <w:sz w:val="24"/>
          <w:szCs w:val="24"/>
        </w:rPr>
        <w:t>, which is highly expressed in tumor-derived macrophages.</w:t>
      </w:r>
    </w:p>
    <w:p w14:paraId="7CB1A9D8" w14:textId="77777777" w:rsidR="008B07A6" w:rsidRDefault="008B07A6"/>
    <w:sectPr w:rsidR="008B07A6" w:rsidSect="00013A47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A47"/>
    <w:rsid w:val="00013A47"/>
    <w:rsid w:val="00066677"/>
    <w:rsid w:val="00153A17"/>
    <w:rsid w:val="001A37F3"/>
    <w:rsid w:val="003A4E89"/>
    <w:rsid w:val="00556784"/>
    <w:rsid w:val="008B07A6"/>
    <w:rsid w:val="0097029A"/>
    <w:rsid w:val="00987B63"/>
    <w:rsid w:val="00A234E6"/>
    <w:rsid w:val="00AF2A02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40D59"/>
  <w15:chartTrackingRefBased/>
  <w15:docId w15:val="{89708AED-81B4-4B6E-8E22-4991E5E7C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A47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3A47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3A47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3A47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3A47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3A47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3A47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3A47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3A47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3A47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3A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3A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3A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3A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3A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3A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3A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3A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3A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3A47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013A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3A47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013A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3A47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013A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3A47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eastAsia="en-US"/>
    </w:rPr>
  </w:style>
  <w:style w:type="character" w:styleId="IntenseEmphasis">
    <w:name w:val="Intense Emphasis"/>
    <w:basedOn w:val="DefaultParagraphFont"/>
    <w:uiPriority w:val="21"/>
    <w:qFormat/>
    <w:rsid w:val="00013A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3A4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3A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3A47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013A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2026-08-03T12:13:00Z</dcterms:created>
  <dcterms:modified xsi:type="dcterms:W3CDTF">2026-08-03T12:13:00Z</dcterms:modified>
</cp:coreProperties>
</file>