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BC7A5">
      <w:pPr>
        <w:pStyle w:val="2"/>
        <w:keepNext/>
        <w:spacing w:before="200" w:after="80"/>
      </w:pPr>
      <w:r>
        <w:rPr>
          <w:rFonts w:ascii="Times New Roman" w:hAnsi="Times New Roman" w:eastAsia="Times New Roman"/>
          <w:b/>
          <w:sz w:val="30"/>
        </w:rPr>
        <w:t>Additional File 2: English-Language Survey Questionnaire and Vignette Materials</w:t>
      </w:r>
    </w:p>
    <w:p w14:paraId="5EA338C0"/>
    <w:p w14:paraId="763CCC3D">
      <w:pPr>
        <w:pStyle w:val="3"/>
        <w:keepNext/>
        <w:spacing w:before="120" w:after="80"/>
      </w:pPr>
      <w:r>
        <w:rPr>
          <w:rFonts w:ascii="Times New Roman" w:hAnsi="Times New Roman" w:eastAsia="Times New Roman"/>
          <w:b/>
          <w:sz w:val="26"/>
        </w:rPr>
        <w:t>Participant Information and Consent</w:t>
      </w:r>
    </w:p>
    <w:p w14:paraId="0F36F610">
      <w:pPr>
        <w:keepNext w:val="0"/>
        <w:spacing w:after="80" w:line="259" w:lineRule="auto"/>
      </w:pPr>
      <w:r>
        <w:rPr>
          <w:rFonts w:ascii="Times New Roman" w:hAnsi="Times New Roman" w:eastAsia="Times New Roman"/>
          <w:sz w:val="22"/>
        </w:rPr>
        <w:t>Study purpose: This survey examines antimicrobial-use decision-making, food-safety risk, veterinary support, regulation, and compliance in food-animal production.</w:t>
      </w:r>
    </w:p>
    <w:p w14:paraId="2DCCF009">
      <w:pPr>
        <w:keepNext w:val="0"/>
        <w:spacing w:after="80" w:line="259" w:lineRule="auto"/>
      </w:pPr>
      <w:r>
        <w:rPr>
          <w:rFonts w:ascii="Times New Roman" w:hAnsi="Times New Roman" w:eastAsia="Times New Roman"/>
          <w:sz w:val="22"/>
        </w:rPr>
        <w:t>Participation is voluntary. You may skip any question or stop at any time. Your responses will be anonymized and used only for academic research. No individual responses will be shared with regulators, buyers, or other third parties. Some participants may be invited to provide anonymized documentary information to assess the consistency of self-reported pract</w:t>
      </w:r>
      <w:bookmarkStart w:id="0" w:name="_GoBack"/>
      <w:bookmarkEnd w:id="0"/>
      <w:r>
        <w:rPr>
          <w:rFonts w:ascii="Times New Roman" w:hAnsi="Times New Roman" w:eastAsia="Times New Roman"/>
          <w:sz w:val="22"/>
        </w:rPr>
        <w:t>ices.</w:t>
      </w:r>
    </w:p>
    <w:p w14:paraId="1EC2F0B3">
      <w:pPr>
        <w:keepNext w:val="0"/>
        <w:spacing w:after="80" w:line="259" w:lineRule="auto"/>
      </w:pPr>
      <w:r>
        <w:rPr>
          <w:rFonts w:ascii="Times New Roman" w:hAnsi="Times New Roman" w:eastAsia="Times New Roman"/>
          <w:sz w:val="22"/>
        </w:rPr>
        <w:t>Consent question: I have read the information above, I am at least 18 years old, and I voluntarily agree to participate in this study.</w:t>
      </w:r>
    </w:p>
    <w:p w14:paraId="231AE3B4">
      <w:pPr>
        <w:pStyle w:val="5"/>
        <w:spacing w:after="40" w:line="252" w:lineRule="auto"/>
      </w:pPr>
      <w:r>
        <w:rPr>
          <w:rFonts w:ascii="Times New Roman" w:hAnsi="Times New Roman" w:eastAsia="Times New Roman"/>
          <w:sz w:val="22"/>
        </w:rPr>
        <w:t>Yes — continue to the survey</w:t>
      </w:r>
    </w:p>
    <w:p w14:paraId="0BD0B9FC">
      <w:pPr>
        <w:pStyle w:val="5"/>
        <w:spacing w:after="40" w:line="252" w:lineRule="auto"/>
      </w:pPr>
      <w:r>
        <w:rPr>
          <w:rFonts w:ascii="Times New Roman" w:hAnsi="Times New Roman" w:eastAsia="Times New Roman"/>
          <w:sz w:val="22"/>
        </w:rPr>
        <w:t>No — end the survey</w:t>
      </w:r>
    </w:p>
    <w:p w14:paraId="53AB8801">
      <w:pPr>
        <w:pStyle w:val="3"/>
        <w:keepNext/>
        <w:spacing w:before="120" w:after="80"/>
      </w:pPr>
      <w:r>
        <w:rPr>
          <w:rFonts w:ascii="Times New Roman" w:hAnsi="Times New Roman" w:eastAsia="Times New Roman"/>
          <w:b/>
          <w:sz w:val="26"/>
        </w:rPr>
        <w:t>Section A. Eligibility and Producer/Farm Characteristics</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5283"/>
        <w:gridCol w:w="2456"/>
      </w:tblGrid>
      <w:tr w14:paraId="4728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75F67705">
            <w:pPr>
              <w:spacing w:after="0" w:line="240" w:lineRule="auto"/>
              <w:jc w:val="center"/>
            </w:pPr>
            <w:r>
              <w:rPr>
                <w:rFonts w:ascii="Times New Roman" w:hAnsi="Times New Roman" w:eastAsia="Times New Roman"/>
                <w:b/>
                <w:sz w:val="18"/>
              </w:rPr>
              <w:t>Item</w:t>
            </w:r>
          </w:p>
        </w:tc>
        <w:tc>
          <w:tcPr>
            <w:tcW w:w="6552" w:type="dxa"/>
            <w:shd w:val="clear" w:color="auto" w:fill="D9D9D9"/>
            <w:tcMar>
              <w:top w:w="80" w:type="dxa"/>
              <w:left w:w="80" w:type="dxa"/>
              <w:bottom w:w="80" w:type="dxa"/>
              <w:right w:w="80" w:type="dxa"/>
            </w:tcMar>
            <w:vAlign w:val="center"/>
          </w:tcPr>
          <w:p w14:paraId="6307ADF8">
            <w:pPr>
              <w:spacing w:after="0" w:line="240" w:lineRule="auto"/>
              <w:jc w:val="center"/>
            </w:pPr>
            <w:r>
              <w:rPr>
                <w:rFonts w:ascii="Times New Roman" w:hAnsi="Times New Roman" w:eastAsia="Times New Roman"/>
                <w:b/>
                <w:sz w:val="18"/>
              </w:rPr>
              <w:t>Question</w:t>
            </w:r>
          </w:p>
        </w:tc>
        <w:tc>
          <w:tcPr>
            <w:tcW w:w="2880" w:type="dxa"/>
            <w:shd w:val="clear" w:color="auto" w:fill="D9D9D9"/>
            <w:tcMar>
              <w:top w:w="80" w:type="dxa"/>
              <w:left w:w="80" w:type="dxa"/>
              <w:bottom w:w="80" w:type="dxa"/>
              <w:right w:w="80" w:type="dxa"/>
            </w:tcMar>
            <w:vAlign w:val="center"/>
          </w:tcPr>
          <w:p w14:paraId="252D316A">
            <w:pPr>
              <w:spacing w:after="0" w:line="240" w:lineRule="auto"/>
              <w:jc w:val="center"/>
            </w:pPr>
            <w:r>
              <w:rPr>
                <w:rFonts w:ascii="Times New Roman" w:hAnsi="Times New Roman" w:eastAsia="Times New Roman"/>
                <w:b/>
                <w:sz w:val="18"/>
              </w:rPr>
              <w:t>Response format</w:t>
            </w:r>
          </w:p>
        </w:tc>
      </w:tr>
      <w:tr w14:paraId="46C1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74FADE8">
            <w:pPr>
              <w:spacing w:after="0" w:line="240" w:lineRule="auto"/>
            </w:pPr>
            <w:r>
              <w:rPr>
                <w:rFonts w:ascii="Times New Roman" w:hAnsi="Times New Roman" w:eastAsia="Times New Roman"/>
                <w:sz w:val="18"/>
              </w:rPr>
              <w:t>A1</w:t>
            </w:r>
          </w:p>
        </w:tc>
        <w:tc>
          <w:tcPr>
            <w:tcW w:w="6552" w:type="dxa"/>
            <w:tcMar>
              <w:top w:w="80" w:type="dxa"/>
              <w:left w:w="80" w:type="dxa"/>
              <w:bottom w:w="80" w:type="dxa"/>
              <w:right w:w="80" w:type="dxa"/>
            </w:tcMar>
            <w:vAlign w:val="top"/>
          </w:tcPr>
          <w:p w14:paraId="3C6A9C9C">
            <w:pPr>
              <w:spacing w:after="0" w:line="240" w:lineRule="auto"/>
            </w:pPr>
            <w:r>
              <w:rPr>
                <w:rFonts w:ascii="Times New Roman" w:hAnsi="Times New Roman" w:eastAsia="Times New Roman"/>
                <w:sz w:val="18"/>
              </w:rPr>
              <w:t>Are you directly involved in decisions concerning animal health, antimicrobial use, medicine purchasing, treatment records, or withdrawal periods?</w:t>
            </w:r>
          </w:p>
        </w:tc>
        <w:tc>
          <w:tcPr>
            <w:tcW w:w="2880" w:type="dxa"/>
            <w:tcMar>
              <w:top w:w="80" w:type="dxa"/>
              <w:left w:w="80" w:type="dxa"/>
              <w:bottom w:w="80" w:type="dxa"/>
              <w:right w:w="80" w:type="dxa"/>
            </w:tcMar>
            <w:vAlign w:val="top"/>
          </w:tcPr>
          <w:p w14:paraId="3CFF557A">
            <w:pPr>
              <w:spacing w:after="0" w:line="240" w:lineRule="auto"/>
            </w:pPr>
            <w:r>
              <w:rPr>
                <w:rFonts w:ascii="Times New Roman" w:hAnsi="Times New Roman" w:eastAsia="Times New Roman"/>
                <w:sz w:val="18"/>
              </w:rPr>
              <w:t>Yes / No</w:t>
            </w:r>
          </w:p>
        </w:tc>
      </w:tr>
      <w:tr w14:paraId="7A65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21149705">
            <w:pPr>
              <w:spacing w:after="0" w:line="240" w:lineRule="auto"/>
            </w:pPr>
            <w:r>
              <w:rPr>
                <w:rFonts w:ascii="Times New Roman" w:hAnsi="Times New Roman" w:eastAsia="Times New Roman"/>
                <w:sz w:val="18"/>
              </w:rPr>
              <w:t>A2</w:t>
            </w:r>
          </w:p>
        </w:tc>
        <w:tc>
          <w:tcPr>
            <w:tcW w:w="6552" w:type="dxa"/>
            <w:tcMar>
              <w:top w:w="80" w:type="dxa"/>
              <w:left w:w="80" w:type="dxa"/>
              <w:bottom w:w="80" w:type="dxa"/>
              <w:right w:w="80" w:type="dxa"/>
            </w:tcMar>
            <w:vAlign w:val="top"/>
          </w:tcPr>
          <w:p w14:paraId="3947430E">
            <w:pPr>
              <w:spacing w:after="0" w:line="240" w:lineRule="auto"/>
            </w:pPr>
            <w:r>
              <w:rPr>
                <w:rFonts w:ascii="Times New Roman" w:hAnsi="Times New Roman" w:eastAsia="Times New Roman"/>
                <w:sz w:val="18"/>
              </w:rPr>
              <w:t>Province of primary production activity</w:t>
            </w:r>
          </w:p>
        </w:tc>
        <w:tc>
          <w:tcPr>
            <w:tcW w:w="2880" w:type="dxa"/>
            <w:tcMar>
              <w:top w:w="80" w:type="dxa"/>
              <w:left w:w="80" w:type="dxa"/>
              <w:bottom w:w="80" w:type="dxa"/>
              <w:right w:w="80" w:type="dxa"/>
            </w:tcMar>
            <w:vAlign w:val="top"/>
          </w:tcPr>
          <w:p w14:paraId="0E2FD387">
            <w:pPr>
              <w:spacing w:after="0" w:line="240" w:lineRule="auto"/>
            </w:pPr>
            <w:r>
              <w:rPr>
                <w:rFonts w:ascii="Times New Roman" w:hAnsi="Times New Roman" w:eastAsia="Times New Roman"/>
                <w:sz w:val="18"/>
              </w:rPr>
              <w:t>Shandong / Henan / Sichuan / Guangdong / Heilongjiang / Jiangsu / Hunan / Yunnan / Other</w:t>
            </w:r>
          </w:p>
        </w:tc>
      </w:tr>
      <w:tr w14:paraId="579C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2AA259CC">
            <w:pPr>
              <w:spacing w:after="0" w:line="240" w:lineRule="auto"/>
            </w:pPr>
            <w:r>
              <w:rPr>
                <w:rFonts w:ascii="Times New Roman" w:hAnsi="Times New Roman" w:eastAsia="Times New Roman"/>
                <w:sz w:val="18"/>
              </w:rPr>
              <w:t>A3</w:t>
            </w:r>
          </w:p>
        </w:tc>
        <w:tc>
          <w:tcPr>
            <w:tcW w:w="6552" w:type="dxa"/>
            <w:tcMar>
              <w:top w:w="80" w:type="dxa"/>
              <w:left w:w="80" w:type="dxa"/>
              <w:bottom w:w="80" w:type="dxa"/>
              <w:right w:w="80" w:type="dxa"/>
            </w:tcMar>
            <w:vAlign w:val="top"/>
          </w:tcPr>
          <w:p w14:paraId="7147A8FA">
            <w:pPr>
              <w:spacing w:after="0" w:line="240" w:lineRule="auto"/>
            </w:pPr>
            <w:r>
              <w:rPr>
                <w:rFonts w:ascii="Times New Roman" w:hAnsi="Times New Roman" w:eastAsia="Times New Roman"/>
                <w:sz w:val="18"/>
              </w:rPr>
              <w:t>Primary production system</w:t>
            </w:r>
          </w:p>
        </w:tc>
        <w:tc>
          <w:tcPr>
            <w:tcW w:w="2880" w:type="dxa"/>
            <w:tcMar>
              <w:top w:w="80" w:type="dxa"/>
              <w:left w:w="80" w:type="dxa"/>
              <w:bottom w:w="80" w:type="dxa"/>
              <w:right w:w="80" w:type="dxa"/>
            </w:tcMar>
            <w:vAlign w:val="top"/>
          </w:tcPr>
          <w:p w14:paraId="18595207">
            <w:pPr>
              <w:spacing w:after="0" w:line="240" w:lineRule="auto"/>
            </w:pPr>
            <w:r>
              <w:rPr>
                <w:rFonts w:ascii="Times New Roman" w:hAnsi="Times New Roman" w:eastAsia="Times New Roman"/>
                <w:sz w:val="18"/>
              </w:rPr>
              <w:t>Swine / Poultry / Aquaculture / Ruminant / Mixed / Other</w:t>
            </w:r>
          </w:p>
        </w:tc>
      </w:tr>
      <w:tr w14:paraId="5AA4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B051CEC">
            <w:pPr>
              <w:spacing w:after="0" w:line="240" w:lineRule="auto"/>
            </w:pPr>
            <w:r>
              <w:rPr>
                <w:rFonts w:ascii="Times New Roman" w:hAnsi="Times New Roman" w:eastAsia="Times New Roman"/>
                <w:sz w:val="18"/>
              </w:rPr>
              <w:t>A4</w:t>
            </w:r>
          </w:p>
        </w:tc>
        <w:tc>
          <w:tcPr>
            <w:tcW w:w="6552" w:type="dxa"/>
            <w:tcMar>
              <w:top w:w="80" w:type="dxa"/>
              <w:left w:w="80" w:type="dxa"/>
              <w:bottom w:w="80" w:type="dxa"/>
              <w:right w:w="80" w:type="dxa"/>
            </w:tcMar>
            <w:vAlign w:val="top"/>
          </w:tcPr>
          <w:p w14:paraId="0523740E">
            <w:pPr>
              <w:spacing w:after="0" w:line="240" w:lineRule="auto"/>
            </w:pPr>
            <w:r>
              <w:rPr>
                <w:rFonts w:ascii="Times New Roman" w:hAnsi="Times New Roman" w:eastAsia="Times New Roman"/>
                <w:sz w:val="18"/>
              </w:rPr>
              <w:t>Approximate farm scale</w:t>
            </w:r>
          </w:p>
        </w:tc>
        <w:tc>
          <w:tcPr>
            <w:tcW w:w="2880" w:type="dxa"/>
            <w:tcMar>
              <w:top w:w="80" w:type="dxa"/>
              <w:left w:w="80" w:type="dxa"/>
              <w:bottom w:w="80" w:type="dxa"/>
              <w:right w:w="80" w:type="dxa"/>
            </w:tcMar>
            <w:vAlign w:val="top"/>
          </w:tcPr>
          <w:p w14:paraId="07FB51A9">
            <w:pPr>
              <w:spacing w:after="0" w:line="240" w:lineRule="auto"/>
            </w:pPr>
            <w:r>
              <w:rPr>
                <w:rFonts w:ascii="Times New Roman" w:hAnsi="Times New Roman" w:eastAsia="Times New Roman"/>
                <w:sz w:val="18"/>
              </w:rPr>
              <w:t>Small (&lt;50 livestock units) / Medium (50–200) / Large (&gt;200)</w:t>
            </w:r>
          </w:p>
        </w:tc>
      </w:tr>
      <w:tr w14:paraId="1535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4B716C84">
            <w:pPr>
              <w:spacing w:after="0" w:line="240" w:lineRule="auto"/>
            </w:pPr>
            <w:r>
              <w:rPr>
                <w:rFonts w:ascii="Times New Roman" w:hAnsi="Times New Roman" w:eastAsia="Times New Roman"/>
                <w:sz w:val="18"/>
              </w:rPr>
              <w:t>A5</w:t>
            </w:r>
          </w:p>
        </w:tc>
        <w:tc>
          <w:tcPr>
            <w:tcW w:w="6552" w:type="dxa"/>
            <w:tcMar>
              <w:top w:w="80" w:type="dxa"/>
              <w:left w:w="80" w:type="dxa"/>
              <w:bottom w:w="80" w:type="dxa"/>
              <w:right w:w="80" w:type="dxa"/>
            </w:tcMar>
            <w:vAlign w:val="top"/>
          </w:tcPr>
          <w:p w14:paraId="405D1890">
            <w:pPr>
              <w:spacing w:after="0" w:line="240" w:lineRule="auto"/>
            </w:pPr>
            <w:r>
              <w:rPr>
                <w:rFonts w:ascii="Times New Roman" w:hAnsi="Times New Roman" w:eastAsia="Times New Roman"/>
                <w:sz w:val="18"/>
              </w:rPr>
              <w:t>Years involved in food-animal production</w:t>
            </w:r>
          </w:p>
        </w:tc>
        <w:tc>
          <w:tcPr>
            <w:tcW w:w="2880" w:type="dxa"/>
            <w:tcMar>
              <w:top w:w="80" w:type="dxa"/>
              <w:left w:w="80" w:type="dxa"/>
              <w:bottom w:w="80" w:type="dxa"/>
              <w:right w:w="80" w:type="dxa"/>
            </w:tcMar>
            <w:vAlign w:val="top"/>
          </w:tcPr>
          <w:p w14:paraId="0C40947B">
            <w:pPr>
              <w:spacing w:after="0" w:line="240" w:lineRule="auto"/>
            </w:pPr>
            <w:r>
              <w:rPr>
                <w:rFonts w:ascii="Times New Roman" w:hAnsi="Times New Roman" w:eastAsia="Times New Roman"/>
                <w:sz w:val="18"/>
              </w:rPr>
              <w:t>&lt;3 / 3–5 / 6–10 / 11–20 / &gt;20</w:t>
            </w:r>
          </w:p>
        </w:tc>
      </w:tr>
      <w:tr w14:paraId="5B29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13D0943">
            <w:pPr>
              <w:spacing w:after="0" w:line="240" w:lineRule="auto"/>
            </w:pPr>
            <w:r>
              <w:rPr>
                <w:rFonts w:ascii="Times New Roman" w:hAnsi="Times New Roman" w:eastAsia="Times New Roman"/>
                <w:sz w:val="18"/>
              </w:rPr>
              <w:t>A6</w:t>
            </w:r>
          </w:p>
        </w:tc>
        <w:tc>
          <w:tcPr>
            <w:tcW w:w="6552" w:type="dxa"/>
            <w:tcMar>
              <w:top w:w="80" w:type="dxa"/>
              <w:left w:w="80" w:type="dxa"/>
              <w:bottom w:w="80" w:type="dxa"/>
              <w:right w:w="80" w:type="dxa"/>
            </w:tcMar>
            <w:vAlign w:val="top"/>
          </w:tcPr>
          <w:p w14:paraId="223FD30D">
            <w:pPr>
              <w:spacing w:after="0" w:line="240" w:lineRule="auto"/>
            </w:pPr>
            <w:r>
              <w:rPr>
                <w:rFonts w:ascii="Times New Roman" w:hAnsi="Times New Roman" w:eastAsia="Times New Roman"/>
                <w:sz w:val="18"/>
              </w:rPr>
              <w:t>Main market channel</w:t>
            </w:r>
          </w:p>
        </w:tc>
        <w:tc>
          <w:tcPr>
            <w:tcW w:w="2880" w:type="dxa"/>
            <w:tcMar>
              <w:top w:w="80" w:type="dxa"/>
              <w:left w:w="80" w:type="dxa"/>
              <w:bottom w:w="80" w:type="dxa"/>
              <w:right w:w="80" w:type="dxa"/>
            </w:tcMar>
            <w:vAlign w:val="top"/>
          </w:tcPr>
          <w:p w14:paraId="7C23B680">
            <w:pPr>
              <w:spacing w:after="0" w:line="240" w:lineRule="auto"/>
            </w:pPr>
            <w:r>
              <w:rPr>
                <w:rFonts w:ascii="Times New Roman" w:hAnsi="Times New Roman" w:eastAsia="Times New Roman"/>
                <w:sz w:val="18"/>
              </w:rPr>
              <w:t>Local direct sales / Cooperative / Wholesaler / Processor / Supermarket or formal buyer / Other</w:t>
            </w:r>
          </w:p>
        </w:tc>
      </w:tr>
      <w:tr w14:paraId="5167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3495FDA0">
            <w:pPr>
              <w:spacing w:after="0" w:line="240" w:lineRule="auto"/>
            </w:pPr>
            <w:r>
              <w:rPr>
                <w:rFonts w:ascii="Times New Roman" w:hAnsi="Times New Roman" w:eastAsia="Times New Roman"/>
                <w:sz w:val="18"/>
              </w:rPr>
              <w:t>A7</w:t>
            </w:r>
          </w:p>
        </w:tc>
        <w:tc>
          <w:tcPr>
            <w:tcW w:w="6552" w:type="dxa"/>
            <w:tcMar>
              <w:top w:w="80" w:type="dxa"/>
              <w:left w:w="80" w:type="dxa"/>
              <w:bottom w:w="80" w:type="dxa"/>
              <w:right w:w="80" w:type="dxa"/>
            </w:tcMar>
            <w:vAlign w:val="top"/>
          </w:tcPr>
          <w:p w14:paraId="0DC925D6">
            <w:pPr>
              <w:spacing w:after="0" w:line="240" w:lineRule="auto"/>
            </w:pPr>
            <w:r>
              <w:rPr>
                <w:rFonts w:ascii="Times New Roman" w:hAnsi="Times New Roman" w:eastAsia="Times New Roman"/>
                <w:sz w:val="18"/>
              </w:rPr>
              <w:t>Access to qualified veterinary advice when animals are sick</w:t>
            </w:r>
          </w:p>
        </w:tc>
        <w:tc>
          <w:tcPr>
            <w:tcW w:w="2880" w:type="dxa"/>
            <w:tcMar>
              <w:top w:w="80" w:type="dxa"/>
              <w:left w:w="80" w:type="dxa"/>
              <w:bottom w:w="80" w:type="dxa"/>
              <w:right w:w="80" w:type="dxa"/>
            </w:tcMar>
            <w:vAlign w:val="top"/>
          </w:tcPr>
          <w:p w14:paraId="54D48BF2">
            <w:pPr>
              <w:spacing w:after="0" w:line="240" w:lineRule="auto"/>
            </w:pPr>
            <w:r>
              <w:rPr>
                <w:rFonts w:ascii="Times New Roman" w:hAnsi="Times New Roman" w:eastAsia="Times New Roman"/>
                <w:sz w:val="18"/>
              </w:rPr>
              <w:t>Never / Rarely / Sometimes / Often / Always</w:t>
            </w:r>
          </w:p>
        </w:tc>
      </w:tr>
      <w:tr w14:paraId="7272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638BE56">
            <w:pPr>
              <w:spacing w:after="0" w:line="240" w:lineRule="auto"/>
            </w:pPr>
            <w:r>
              <w:rPr>
                <w:rFonts w:ascii="Times New Roman" w:hAnsi="Times New Roman" w:eastAsia="Times New Roman"/>
                <w:sz w:val="18"/>
              </w:rPr>
              <w:t>A8</w:t>
            </w:r>
          </w:p>
        </w:tc>
        <w:tc>
          <w:tcPr>
            <w:tcW w:w="6552" w:type="dxa"/>
            <w:tcMar>
              <w:top w:w="80" w:type="dxa"/>
              <w:left w:w="80" w:type="dxa"/>
              <w:bottom w:w="80" w:type="dxa"/>
              <w:right w:w="80" w:type="dxa"/>
            </w:tcMar>
            <w:vAlign w:val="top"/>
          </w:tcPr>
          <w:p w14:paraId="309BCA53">
            <w:pPr>
              <w:spacing w:after="0" w:line="240" w:lineRule="auto"/>
            </w:pPr>
            <w:r>
              <w:rPr>
                <w:rFonts w:ascii="Times New Roman" w:hAnsi="Times New Roman" w:eastAsia="Times New Roman"/>
                <w:sz w:val="18"/>
              </w:rPr>
              <w:t>Prior inspection or residue-testing experience during the past 24 months</w:t>
            </w:r>
          </w:p>
        </w:tc>
        <w:tc>
          <w:tcPr>
            <w:tcW w:w="2880" w:type="dxa"/>
            <w:tcMar>
              <w:top w:w="80" w:type="dxa"/>
              <w:left w:w="80" w:type="dxa"/>
              <w:bottom w:w="80" w:type="dxa"/>
              <w:right w:w="80" w:type="dxa"/>
            </w:tcMar>
            <w:vAlign w:val="top"/>
          </w:tcPr>
          <w:p w14:paraId="7F0FF0DF">
            <w:pPr>
              <w:spacing w:after="0" w:line="240" w:lineRule="auto"/>
            </w:pPr>
            <w:r>
              <w:rPr>
                <w:rFonts w:ascii="Times New Roman" w:hAnsi="Times New Roman" w:eastAsia="Times New Roman"/>
                <w:sz w:val="18"/>
              </w:rPr>
              <w:t>Yes / No / Unsure</w:t>
            </w:r>
          </w:p>
        </w:tc>
      </w:tr>
      <w:tr w14:paraId="01E4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196E2967">
            <w:pPr>
              <w:spacing w:after="0" w:line="240" w:lineRule="auto"/>
            </w:pPr>
            <w:r>
              <w:rPr>
                <w:rFonts w:ascii="Times New Roman" w:hAnsi="Times New Roman" w:eastAsia="Times New Roman"/>
                <w:sz w:val="18"/>
              </w:rPr>
              <w:t>A9</w:t>
            </w:r>
          </w:p>
        </w:tc>
        <w:tc>
          <w:tcPr>
            <w:tcW w:w="6552" w:type="dxa"/>
            <w:tcMar>
              <w:top w:w="80" w:type="dxa"/>
              <w:left w:w="80" w:type="dxa"/>
              <w:bottom w:w="80" w:type="dxa"/>
              <w:right w:w="80" w:type="dxa"/>
            </w:tcMar>
            <w:vAlign w:val="top"/>
          </w:tcPr>
          <w:p w14:paraId="7941887B">
            <w:pPr>
              <w:spacing w:after="0" w:line="240" w:lineRule="auto"/>
            </w:pPr>
            <w:r>
              <w:rPr>
                <w:rFonts w:ascii="Times New Roman" w:hAnsi="Times New Roman" w:eastAsia="Times New Roman"/>
                <w:sz w:val="18"/>
              </w:rPr>
              <w:t>Use of digital or paper medicine records</w:t>
            </w:r>
          </w:p>
        </w:tc>
        <w:tc>
          <w:tcPr>
            <w:tcW w:w="2880" w:type="dxa"/>
            <w:tcMar>
              <w:top w:w="80" w:type="dxa"/>
              <w:left w:w="80" w:type="dxa"/>
              <w:bottom w:w="80" w:type="dxa"/>
              <w:right w:w="80" w:type="dxa"/>
            </w:tcMar>
            <w:vAlign w:val="top"/>
          </w:tcPr>
          <w:p w14:paraId="108C0503">
            <w:pPr>
              <w:spacing w:after="0" w:line="240" w:lineRule="auto"/>
            </w:pPr>
            <w:r>
              <w:rPr>
                <w:rFonts w:ascii="Times New Roman" w:hAnsi="Times New Roman" w:eastAsia="Times New Roman"/>
                <w:sz w:val="18"/>
              </w:rPr>
              <w:t>None / Paper only / Digital only / Both</w:t>
            </w:r>
          </w:p>
        </w:tc>
      </w:tr>
      <w:tr w14:paraId="69C7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557CAA26">
            <w:pPr>
              <w:spacing w:after="0" w:line="240" w:lineRule="auto"/>
            </w:pPr>
            <w:r>
              <w:rPr>
                <w:rFonts w:ascii="Times New Roman" w:hAnsi="Times New Roman" w:eastAsia="Times New Roman"/>
                <w:sz w:val="18"/>
              </w:rPr>
              <w:t>A10</w:t>
            </w:r>
          </w:p>
        </w:tc>
        <w:tc>
          <w:tcPr>
            <w:tcW w:w="6552" w:type="dxa"/>
            <w:tcMar>
              <w:top w:w="80" w:type="dxa"/>
              <w:left w:w="80" w:type="dxa"/>
              <w:bottom w:w="80" w:type="dxa"/>
              <w:right w:w="80" w:type="dxa"/>
            </w:tcMar>
            <w:vAlign w:val="top"/>
          </w:tcPr>
          <w:p w14:paraId="49FB641A">
            <w:pPr>
              <w:spacing w:after="0" w:line="240" w:lineRule="auto"/>
            </w:pPr>
            <w:r>
              <w:rPr>
                <w:rFonts w:ascii="Times New Roman" w:hAnsi="Times New Roman" w:eastAsia="Times New Roman"/>
                <w:sz w:val="18"/>
              </w:rPr>
              <w:t>Highest education level</w:t>
            </w:r>
          </w:p>
        </w:tc>
        <w:tc>
          <w:tcPr>
            <w:tcW w:w="2880" w:type="dxa"/>
            <w:tcMar>
              <w:top w:w="80" w:type="dxa"/>
              <w:left w:w="80" w:type="dxa"/>
              <w:bottom w:w="80" w:type="dxa"/>
              <w:right w:w="80" w:type="dxa"/>
            </w:tcMar>
            <w:vAlign w:val="top"/>
          </w:tcPr>
          <w:p w14:paraId="05A7F4E5">
            <w:pPr>
              <w:spacing w:after="0" w:line="240" w:lineRule="auto"/>
            </w:pPr>
            <w:r>
              <w:rPr>
                <w:rFonts w:ascii="Times New Roman" w:hAnsi="Times New Roman" w:eastAsia="Times New Roman"/>
                <w:sz w:val="18"/>
              </w:rPr>
              <w:t>Primary or below / Junior secondary / Senior secondary / Technical college / University or above</w:t>
            </w:r>
          </w:p>
        </w:tc>
      </w:tr>
    </w:tbl>
    <w:p w14:paraId="3632D6EA"/>
    <w:p w14:paraId="28A43544">
      <w:pPr>
        <w:pStyle w:val="3"/>
        <w:keepNext/>
        <w:spacing w:before="120" w:after="80"/>
      </w:pPr>
      <w:r>
        <w:rPr>
          <w:rFonts w:ascii="Times New Roman" w:hAnsi="Times New Roman" w:eastAsia="Times New Roman"/>
          <w:b/>
          <w:sz w:val="26"/>
        </w:rPr>
        <w:t>General Response Scale for Sections B–G</w:t>
      </w:r>
    </w:p>
    <w:p w14:paraId="50373AEF">
      <w:pPr>
        <w:keepNext w:val="0"/>
        <w:spacing w:after="80" w:line="259" w:lineRule="auto"/>
      </w:pPr>
      <w:r>
        <w:rPr>
          <w:rFonts w:ascii="Times New Roman" w:hAnsi="Times New Roman" w:eastAsia="Times New Roman"/>
          <w:sz w:val="22"/>
        </w:rPr>
        <w:t>Unless otherwise indicated, use the following seven-point agreement scale: 1 = Strongly disagree; 2 = Disagree; 3 = Somewhat disagree; 4 = Neither agree nor disagree; 5 = Somewhat agree; 6 = Agree; 7 = Strongly agree.</w:t>
      </w:r>
    </w:p>
    <w:p w14:paraId="59E6C68D">
      <w:pPr>
        <w:pStyle w:val="3"/>
        <w:keepNext/>
        <w:spacing w:before="120" w:after="80"/>
      </w:pPr>
      <w:r>
        <w:rPr>
          <w:rFonts w:ascii="Times New Roman" w:hAnsi="Times New Roman" w:eastAsia="Times New Roman"/>
          <w:b/>
          <w:sz w:val="26"/>
        </w:rPr>
        <w:t>Section B. AMR Risk Awareness</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6309"/>
        <w:gridCol w:w="1428"/>
      </w:tblGrid>
      <w:tr w14:paraId="20CE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304F6238">
            <w:pPr>
              <w:spacing w:after="0" w:line="240" w:lineRule="auto"/>
              <w:jc w:val="center"/>
            </w:pPr>
            <w:r>
              <w:rPr>
                <w:rFonts w:ascii="Times New Roman" w:hAnsi="Times New Roman" w:eastAsia="Times New Roman"/>
                <w:b/>
                <w:sz w:val="18"/>
              </w:rPr>
              <w:t>Item</w:t>
            </w:r>
          </w:p>
        </w:tc>
        <w:tc>
          <w:tcPr>
            <w:tcW w:w="7848" w:type="dxa"/>
            <w:shd w:val="clear" w:color="auto" w:fill="D9D9D9"/>
            <w:tcMar>
              <w:top w:w="80" w:type="dxa"/>
              <w:left w:w="80" w:type="dxa"/>
              <w:bottom w:w="80" w:type="dxa"/>
              <w:right w:w="80" w:type="dxa"/>
            </w:tcMar>
            <w:vAlign w:val="center"/>
          </w:tcPr>
          <w:p w14:paraId="13793180">
            <w:pPr>
              <w:spacing w:after="0" w:line="240" w:lineRule="auto"/>
              <w:jc w:val="center"/>
            </w:pPr>
            <w:r>
              <w:rPr>
                <w:rFonts w:ascii="Times New Roman" w:hAnsi="Times New Roman" w:eastAsia="Times New Roman"/>
                <w:b/>
                <w:sz w:val="18"/>
              </w:rPr>
              <w:t>Statement</w:t>
            </w:r>
          </w:p>
        </w:tc>
        <w:tc>
          <w:tcPr>
            <w:tcW w:w="1584" w:type="dxa"/>
            <w:shd w:val="clear" w:color="auto" w:fill="D9D9D9"/>
            <w:tcMar>
              <w:top w:w="80" w:type="dxa"/>
              <w:left w:w="80" w:type="dxa"/>
              <w:bottom w:w="80" w:type="dxa"/>
              <w:right w:w="80" w:type="dxa"/>
            </w:tcMar>
            <w:vAlign w:val="center"/>
          </w:tcPr>
          <w:p w14:paraId="57650BC4">
            <w:pPr>
              <w:spacing w:after="0" w:line="240" w:lineRule="auto"/>
              <w:jc w:val="center"/>
            </w:pPr>
            <w:r>
              <w:rPr>
                <w:rFonts w:ascii="Times New Roman" w:hAnsi="Times New Roman" w:eastAsia="Times New Roman"/>
                <w:b/>
                <w:sz w:val="18"/>
              </w:rPr>
              <w:t>Response</w:t>
            </w:r>
          </w:p>
        </w:tc>
      </w:tr>
      <w:tr w14:paraId="650D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EC874D0">
            <w:pPr>
              <w:spacing w:after="0" w:line="240" w:lineRule="auto"/>
            </w:pPr>
            <w:r>
              <w:rPr>
                <w:rFonts w:ascii="Times New Roman" w:hAnsi="Times New Roman" w:eastAsia="Times New Roman"/>
                <w:sz w:val="18"/>
              </w:rPr>
              <w:t>B1</w:t>
            </w:r>
          </w:p>
        </w:tc>
        <w:tc>
          <w:tcPr>
            <w:tcW w:w="7848" w:type="dxa"/>
            <w:tcMar>
              <w:top w:w="80" w:type="dxa"/>
              <w:left w:w="80" w:type="dxa"/>
              <w:bottom w:w="80" w:type="dxa"/>
              <w:right w:w="80" w:type="dxa"/>
            </w:tcMar>
            <w:vAlign w:val="top"/>
          </w:tcPr>
          <w:p w14:paraId="2083ABB1">
            <w:pPr>
              <w:spacing w:after="0" w:line="240" w:lineRule="auto"/>
            </w:pPr>
            <w:r>
              <w:rPr>
                <w:rFonts w:ascii="Times New Roman" w:hAnsi="Times New Roman" w:eastAsia="Times New Roman"/>
                <w:sz w:val="18"/>
              </w:rPr>
              <w:t>Unnecessary antimicrobial use on farms can make future infections harder to treat.</w:t>
            </w:r>
          </w:p>
        </w:tc>
        <w:tc>
          <w:tcPr>
            <w:tcW w:w="1584" w:type="dxa"/>
            <w:tcMar>
              <w:top w:w="80" w:type="dxa"/>
              <w:left w:w="80" w:type="dxa"/>
              <w:bottom w:w="80" w:type="dxa"/>
              <w:right w:w="80" w:type="dxa"/>
            </w:tcMar>
            <w:vAlign w:val="top"/>
          </w:tcPr>
          <w:p w14:paraId="4E22E4E2">
            <w:pPr>
              <w:spacing w:after="0" w:line="240" w:lineRule="auto"/>
            </w:pPr>
            <w:r>
              <w:rPr>
                <w:rFonts w:ascii="Times New Roman" w:hAnsi="Times New Roman" w:eastAsia="Times New Roman"/>
                <w:sz w:val="18"/>
              </w:rPr>
              <w:t>1–7 agreement scale</w:t>
            </w:r>
          </w:p>
        </w:tc>
      </w:tr>
      <w:tr w14:paraId="180A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14E992A">
            <w:pPr>
              <w:spacing w:after="0" w:line="240" w:lineRule="auto"/>
            </w:pPr>
            <w:r>
              <w:rPr>
                <w:rFonts w:ascii="Times New Roman" w:hAnsi="Times New Roman" w:eastAsia="Times New Roman"/>
                <w:sz w:val="18"/>
              </w:rPr>
              <w:t>B2</w:t>
            </w:r>
          </w:p>
        </w:tc>
        <w:tc>
          <w:tcPr>
            <w:tcW w:w="7848" w:type="dxa"/>
            <w:tcMar>
              <w:top w:w="80" w:type="dxa"/>
              <w:left w:w="80" w:type="dxa"/>
              <w:bottom w:w="80" w:type="dxa"/>
              <w:right w:w="80" w:type="dxa"/>
            </w:tcMar>
            <w:vAlign w:val="top"/>
          </w:tcPr>
          <w:p w14:paraId="2344BC82">
            <w:pPr>
              <w:spacing w:after="0" w:line="240" w:lineRule="auto"/>
            </w:pPr>
            <w:r>
              <w:rPr>
                <w:rFonts w:ascii="Times New Roman" w:hAnsi="Times New Roman" w:eastAsia="Times New Roman"/>
                <w:sz w:val="18"/>
              </w:rPr>
              <w:t>Improper antimicrobial use can create food-safety problems for consumers.</w:t>
            </w:r>
          </w:p>
        </w:tc>
        <w:tc>
          <w:tcPr>
            <w:tcW w:w="1584" w:type="dxa"/>
            <w:tcMar>
              <w:top w:w="80" w:type="dxa"/>
              <w:left w:w="80" w:type="dxa"/>
              <w:bottom w:w="80" w:type="dxa"/>
              <w:right w:w="80" w:type="dxa"/>
            </w:tcMar>
            <w:vAlign w:val="top"/>
          </w:tcPr>
          <w:p w14:paraId="06DAD827">
            <w:pPr>
              <w:spacing w:after="0" w:line="240" w:lineRule="auto"/>
            </w:pPr>
            <w:r>
              <w:rPr>
                <w:rFonts w:ascii="Times New Roman" w:hAnsi="Times New Roman" w:eastAsia="Times New Roman"/>
                <w:sz w:val="18"/>
              </w:rPr>
              <w:t>1–7 agreement scale</w:t>
            </w:r>
          </w:p>
        </w:tc>
      </w:tr>
      <w:tr w14:paraId="7D2F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4A77C35A">
            <w:pPr>
              <w:spacing w:after="0" w:line="240" w:lineRule="auto"/>
            </w:pPr>
            <w:r>
              <w:rPr>
                <w:rFonts w:ascii="Times New Roman" w:hAnsi="Times New Roman" w:eastAsia="Times New Roman"/>
                <w:sz w:val="18"/>
              </w:rPr>
              <w:t>B3</w:t>
            </w:r>
          </w:p>
        </w:tc>
        <w:tc>
          <w:tcPr>
            <w:tcW w:w="7848" w:type="dxa"/>
            <w:tcMar>
              <w:top w:w="80" w:type="dxa"/>
              <w:left w:w="80" w:type="dxa"/>
              <w:bottom w:w="80" w:type="dxa"/>
              <w:right w:w="80" w:type="dxa"/>
            </w:tcMar>
            <w:vAlign w:val="top"/>
          </w:tcPr>
          <w:p w14:paraId="6AE0B9F5">
            <w:pPr>
              <w:spacing w:after="0" w:line="240" w:lineRule="auto"/>
            </w:pPr>
            <w:r>
              <w:rPr>
                <w:rFonts w:ascii="Times New Roman" w:hAnsi="Times New Roman" w:eastAsia="Times New Roman"/>
                <w:sz w:val="18"/>
              </w:rPr>
              <w:t>Antimicrobial residues or resistant bacteria from farms can affect the wider environment.</w:t>
            </w:r>
          </w:p>
        </w:tc>
        <w:tc>
          <w:tcPr>
            <w:tcW w:w="1584" w:type="dxa"/>
            <w:tcMar>
              <w:top w:w="80" w:type="dxa"/>
              <w:left w:w="80" w:type="dxa"/>
              <w:bottom w:w="80" w:type="dxa"/>
              <w:right w:w="80" w:type="dxa"/>
            </w:tcMar>
            <w:vAlign w:val="top"/>
          </w:tcPr>
          <w:p w14:paraId="35D39C01">
            <w:pPr>
              <w:spacing w:after="0" w:line="240" w:lineRule="auto"/>
            </w:pPr>
            <w:r>
              <w:rPr>
                <w:rFonts w:ascii="Times New Roman" w:hAnsi="Times New Roman" w:eastAsia="Times New Roman"/>
                <w:sz w:val="18"/>
              </w:rPr>
              <w:t>1–7 agreement scale</w:t>
            </w:r>
          </w:p>
        </w:tc>
      </w:tr>
      <w:tr w14:paraId="4F27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23F55070">
            <w:pPr>
              <w:spacing w:after="0" w:line="240" w:lineRule="auto"/>
            </w:pPr>
            <w:r>
              <w:rPr>
                <w:rFonts w:ascii="Times New Roman" w:hAnsi="Times New Roman" w:eastAsia="Times New Roman"/>
                <w:sz w:val="18"/>
              </w:rPr>
              <w:t>B4</w:t>
            </w:r>
          </w:p>
        </w:tc>
        <w:tc>
          <w:tcPr>
            <w:tcW w:w="7848" w:type="dxa"/>
            <w:tcMar>
              <w:top w:w="80" w:type="dxa"/>
              <w:left w:w="80" w:type="dxa"/>
              <w:bottom w:w="80" w:type="dxa"/>
              <w:right w:w="80" w:type="dxa"/>
            </w:tcMar>
            <w:vAlign w:val="top"/>
          </w:tcPr>
          <w:p w14:paraId="7B4B468C">
            <w:pPr>
              <w:spacing w:after="0" w:line="240" w:lineRule="auto"/>
            </w:pPr>
            <w:r>
              <w:rPr>
                <w:rFonts w:ascii="Times New Roman" w:hAnsi="Times New Roman" w:eastAsia="Times New Roman"/>
                <w:sz w:val="18"/>
              </w:rPr>
              <w:t>Antimicrobial resistance can reduce the effectiveness of treatments used for animals.</w:t>
            </w:r>
          </w:p>
        </w:tc>
        <w:tc>
          <w:tcPr>
            <w:tcW w:w="1584" w:type="dxa"/>
            <w:tcMar>
              <w:top w:w="80" w:type="dxa"/>
              <w:left w:w="80" w:type="dxa"/>
              <w:bottom w:w="80" w:type="dxa"/>
              <w:right w:w="80" w:type="dxa"/>
            </w:tcMar>
            <w:vAlign w:val="top"/>
          </w:tcPr>
          <w:p w14:paraId="578D8B97">
            <w:pPr>
              <w:spacing w:after="0" w:line="240" w:lineRule="auto"/>
            </w:pPr>
            <w:r>
              <w:rPr>
                <w:rFonts w:ascii="Times New Roman" w:hAnsi="Times New Roman" w:eastAsia="Times New Roman"/>
                <w:sz w:val="18"/>
              </w:rPr>
              <w:t>1–7 agreement scale</w:t>
            </w:r>
          </w:p>
        </w:tc>
      </w:tr>
      <w:tr w14:paraId="63F1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441D0507">
            <w:pPr>
              <w:spacing w:after="0" w:line="240" w:lineRule="auto"/>
            </w:pPr>
            <w:r>
              <w:rPr>
                <w:rFonts w:ascii="Times New Roman" w:hAnsi="Times New Roman" w:eastAsia="Times New Roman"/>
                <w:sz w:val="18"/>
              </w:rPr>
              <w:t>B5</w:t>
            </w:r>
          </w:p>
        </w:tc>
        <w:tc>
          <w:tcPr>
            <w:tcW w:w="7848" w:type="dxa"/>
            <w:tcMar>
              <w:top w:w="80" w:type="dxa"/>
              <w:left w:w="80" w:type="dxa"/>
              <w:bottom w:w="80" w:type="dxa"/>
              <w:right w:w="80" w:type="dxa"/>
            </w:tcMar>
            <w:vAlign w:val="top"/>
          </w:tcPr>
          <w:p w14:paraId="3E076BC3">
            <w:pPr>
              <w:spacing w:after="0" w:line="240" w:lineRule="auto"/>
            </w:pPr>
            <w:r>
              <w:rPr>
                <w:rFonts w:ascii="Times New Roman" w:hAnsi="Times New Roman" w:eastAsia="Times New Roman"/>
                <w:sz w:val="18"/>
              </w:rPr>
              <w:t>Problems involving antimicrobial use can create market losses if buyers or regulators detect them.</w:t>
            </w:r>
          </w:p>
        </w:tc>
        <w:tc>
          <w:tcPr>
            <w:tcW w:w="1584" w:type="dxa"/>
            <w:tcMar>
              <w:top w:w="80" w:type="dxa"/>
              <w:left w:w="80" w:type="dxa"/>
              <w:bottom w:w="80" w:type="dxa"/>
              <w:right w:w="80" w:type="dxa"/>
            </w:tcMar>
            <w:vAlign w:val="top"/>
          </w:tcPr>
          <w:p w14:paraId="31D32771">
            <w:pPr>
              <w:spacing w:after="0" w:line="240" w:lineRule="auto"/>
            </w:pPr>
            <w:r>
              <w:rPr>
                <w:rFonts w:ascii="Times New Roman" w:hAnsi="Times New Roman" w:eastAsia="Times New Roman"/>
                <w:sz w:val="18"/>
              </w:rPr>
              <w:t>1–7 agreement scale</w:t>
            </w:r>
          </w:p>
        </w:tc>
      </w:tr>
      <w:tr w14:paraId="45FA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98C797C">
            <w:pPr>
              <w:spacing w:after="0" w:line="240" w:lineRule="auto"/>
            </w:pPr>
            <w:r>
              <w:rPr>
                <w:rFonts w:ascii="Times New Roman" w:hAnsi="Times New Roman" w:eastAsia="Times New Roman"/>
                <w:sz w:val="18"/>
              </w:rPr>
              <w:t>B6</w:t>
            </w:r>
          </w:p>
        </w:tc>
        <w:tc>
          <w:tcPr>
            <w:tcW w:w="7848" w:type="dxa"/>
            <w:tcMar>
              <w:top w:w="80" w:type="dxa"/>
              <w:left w:w="80" w:type="dxa"/>
              <w:bottom w:w="80" w:type="dxa"/>
              <w:right w:w="80" w:type="dxa"/>
            </w:tcMar>
            <w:vAlign w:val="top"/>
          </w:tcPr>
          <w:p w14:paraId="2219B17D">
            <w:pPr>
              <w:spacing w:after="0" w:line="240" w:lineRule="auto"/>
            </w:pPr>
            <w:r>
              <w:rPr>
                <w:rFonts w:ascii="Times New Roman" w:hAnsi="Times New Roman" w:eastAsia="Times New Roman"/>
                <w:sz w:val="18"/>
              </w:rPr>
              <w:t>The way antimicrobials are used on one farm can contribute to health risks beyond that farm.</w:t>
            </w:r>
          </w:p>
        </w:tc>
        <w:tc>
          <w:tcPr>
            <w:tcW w:w="1584" w:type="dxa"/>
            <w:tcMar>
              <w:top w:w="80" w:type="dxa"/>
              <w:left w:w="80" w:type="dxa"/>
              <w:bottom w:w="80" w:type="dxa"/>
              <w:right w:w="80" w:type="dxa"/>
            </w:tcMar>
            <w:vAlign w:val="top"/>
          </w:tcPr>
          <w:p w14:paraId="5257A30E">
            <w:pPr>
              <w:spacing w:after="0" w:line="240" w:lineRule="auto"/>
            </w:pPr>
            <w:r>
              <w:rPr>
                <w:rFonts w:ascii="Times New Roman" w:hAnsi="Times New Roman" w:eastAsia="Times New Roman"/>
                <w:sz w:val="18"/>
              </w:rPr>
              <w:t>1–7 agreement scale</w:t>
            </w:r>
          </w:p>
        </w:tc>
      </w:tr>
    </w:tbl>
    <w:p w14:paraId="084AE227"/>
    <w:p w14:paraId="5A81BB40">
      <w:pPr>
        <w:pStyle w:val="3"/>
        <w:keepNext/>
        <w:spacing w:before="120" w:after="80"/>
      </w:pPr>
      <w:r>
        <w:rPr>
          <w:rFonts w:ascii="Times New Roman" w:hAnsi="Times New Roman" w:eastAsia="Times New Roman"/>
          <w:b/>
          <w:sz w:val="26"/>
        </w:rPr>
        <w:t>Section C. One Health Responsibility</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6323"/>
        <w:gridCol w:w="1418"/>
      </w:tblGrid>
      <w:tr w14:paraId="5BF5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6872E06D">
            <w:pPr>
              <w:spacing w:after="0" w:line="240" w:lineRule="auto"/>
              <w:jc w:val="center"/>
            </w:pPr>
            <w:r>
              <w:rPr>
                <w:rFonts w:ascii="Times New Roman" w:hAnsi="Times New Roman" w:eastAsia="Times New Roman"/>
                <w:b/>
                <w:sz w:val="18"/>
              </w:rPr>
              <w:t>Item</w:t>
            </w:r>
          </w:p>
        </w:tc>
        <w:tc>
          <w:tcPr>
            <w:tcW w:w="7848" w:type="dxa"/>
            <w:shd w:val="clear" w:color="auto" w:fill="D9D9D9"/>
            <w:tcMar>
              <w:top w:w="80" w:type="dxa"/>
              <w:left w:w="80" w:type="dxa"/>
              <w:bottom w:w="80" w:type="dxa"/>
              <w:right w:w="80" w:type="dxa"/>
            </w:tcMar>
            <w:vAlign w:val="center"/>
          </w:tcPr>
          <w:p w14:paraId="60CE12BC">
            <w:pPr>
              <w:spacing w:after="0" w:line="240" w:lineRule="auto"/>
              <w:jc w:val="center"/>
            </w:pPr>
            <w:r>
              <w:rPr>
                <w:rFonts w:ascii="Times New Roman" w:hAnsi="Times New Roman" w:eastAsia="Times New Roman"/>
                <w:b/>
                <w:sz w:val="18"/>
              </w:rPr>
              <w:t>Statement</w:t>
            </w:r>
          </w:p>
        </w:tc>
        <w:tc>
          <w:tcPr>
            <w:tcW w:w="1584" w:type="dxa"/>
            <w:shd w:val="clear" w:color="auto" w:fill="D9D9D9"/>
            <w:tcMar>
              <w:top w:w="80" w:type="dxa"/>
              <w:left w:w="80" w:type="dxa"/>
              <w:bottom w:w="80" w:type="dxa"/>
              <w:right w:w="80" w:type="dxa"/>
            </w:tcMar>
            <w:vAlign w:val="center"/>
          </w:tcPr>
          <w:p w14:paraId="30A95306">
            <w:pPr>
              <w:spacing w:after="0" w:line="240" w:lineRule="auto"/>
              <w:jc w:val="center"/>
            </w:pPr>
            <w:r>
              <w:rPr>
                <w:rFonts w:ascii="Times New Roman" w:hAnsi="Times New Roman" w:eastAsia="Times New Roman"/>
                <w:b/>
                <w:sz w:val="18"/>
              </w:rPr>
              <w:t>Response</w:t>
            </w:r>
          </w:p>
        </w:tc>
      </w:tr>
      <w:tr w14:paraId="70BB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31656E78">
            <w:pPr>
              <w:spacing w:after="0" w:line="240" w:lineRule="auto"/>
            </w:pPr>
            <w:r>
              <w:rPr>
                <w:rFonts w:ascii="Times New Roman" w:hAnsi="Times New Roman" w:eastAsia="Times New Roman"/>
                <w:sz w:val="18"/>
              </w:rPr>
              <w:t>C1</w:t>
            </w:r>
          </w:p>
        </w:tc>
        <w:tc>
          <w:tcPr>
            <w:tcW w:w="7848" w:type="dxa"/>
            <w:tcMar>
              <w:top w:w="80" w:type="dxa"/>
              <w:left w:w="80" w:type="dxa"/>
              <w:bottom w:w="80" w:type="dxa"/>
              <w:right w:w="80" w:type="dxa"/>
            </w:tcMar>
            <w:vAlign w:val="top"/>
          </w:tcPr>
          <w:p w14:paraId="0D8586C8">
            <w:pPr>
              <w:spacing w:after="0" w:line="240" w:lineRule="auto"/>
            </w:pPr>
            <w:r>
              <w:rPr>
                <w:rFonts w:ascii="Times New Roman" w:hAnsi="Times New Roman" w:eastAsia="Times New Roman"/>
                <w:sz w:val="18"/>
              </w:rPr>
              <w:t>I have a responsibility to use antimicrobials in ways that protect consumers.</w:t>
            </w:r>
          </w:p>
        </w:tc>
        <w:tc>
          <w:tcPr>
            <w:tcW w:w="1584" w:type="dxa"/>
            <w:tcMar>
              <w:top w:w="80" w:type="dxa"/>
              <w:left w:w="80" w:type="dxa"/>
              <w:bottom w:w="80" w:type="dxa"/>
              <w:right w:w="80" w:type="dxa"/>
            </w:tcMar>
            <w:vAlign w:val="top"/>
          </w:tcPr>
          <w:p w14:paraId="4F9F11F2">
            <w:pPr>
              <w:spacing w:after="0" w:line="240" w:lineRule="auto"/>
            </w:pPr>
            <w:r>
              <w:rPr>
                <w:rFonts w:ascii="Times New Roman" w:hAnsi="Times New Roman" w:eastAsia="Times New Roman"/>
                <w:sz w:val="18"/>
              </w:rPr>
              <w:t>1–7 agreement scale</w:t>
            </w:r>
          </w:p>
        </w:tc>
      </w:tr>
      <w:tr w14:paraId="2573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AE7D7D1">
            <w:pPr>
              <w:spacing w:after="0" w:line="240" w:lineRule="auto"/>
            </w:pPr>
            <w:r>
              <w:rPr>
                <w:rFonts w:ascii="Times New Roman" w:hAnsi="Times New Roman" w:eastAsia="Times New Roman"/>
                <w:sz w:val="18"/>
              </w:rPr>
              <w:t>C2</w:t>
            </w:r>
          </w:p>
        </w:tc>
        <w:tc>
          <w:tcPr>
            <w:tcW w:w="7848" w:type="dxa"/>
            <w:tcMar>
              <w:top w:w="80" w:type="dxa"/>
              <w:left w:w="80" w:type="dxa"/>
              <w:bottom w:w="80" w:type="dxa"/>
              <w:right w:w="80" w:type="dxa"/>
            </w:tcMar>
            <w:vAlign w:val="top"/>
          </w:tcPr>
          <w:p w14:paraId="2DEBE194">
            <w:pPr>
              <w:spacing w:after="0" w:line="240" w:lineRule="auto"/>
            </w:pPr>
            <w:r>
              <w:rPr>
                <w:rFonts w:ascii="Times New Roman" w:hAnsi="Times New Roman" w:eastAsia="Times New Roman"/>
                <w:sz w:val="18"/>
              </w:rPr>
              <w:t>Responsible antimicrobial use is part of good animal husbandry.</w:t>
            </w:r>
          </w:p>
        </w:tc>
        <w:tc>
          <w:tcPr>
            <w:tcW w:w="1584" w:type="dxa"/>
            <w:tcMar>
              <w:top w:w="80" w:type="dxa"/>
              <w:left w:w="80" w:type="dxa"/>
              <w:bottom w:w="80" w:type="dxa"/>
              <w:right w:w="80" w:type="dxa"/>
            </w:tcMar>
            <w:vAlign w:val="top"/>
          </w:tcPr>
          <w:p w14:paraId="2525A54E">
            <w:pPr>
              <w:spacing w:after="0" w:line="240" w:lineRule="auto"/>
            </w:pPr>
            <w:r>
              <w:rPr>
                <w:rFonts w:ascii="Times New Roman" w:hAnsi="Times New Roman" w:eastAsia="Times New Roman"/>
                <w:sz w:val="18"/>
              </w:rPr>
              <w:t>1–7 agreement scale</w:t>
            </w:r>
          </w:p>
        </w:tc>
      </w:tr>
      <w:tr w14:paraId="4D0B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213982E7">
            <w:pPr>
              <w:spacing w:after="0" w:line="240" w:lineRule="auto"/>
            </w:pPr>
            <w:r>
              <w:rPr>
                <w:rFonts w:ascii="Times New Roman" w:hAnsi="Times New Roman" w:eastAsia="Times New Roman"/>
                <w:sz w:val="18"/>
              </w:rPr>
              <w:t>C3</w:t>
            </w:r>
          </w:p>
        </w:tc>
        <w:tc>
          <w:tcPr>
            <w:tcW w:w="7848" w:type="dxa"/>
            <w:tcMar>
              <w:top w:w="80" w:type="dxa"/>
              <w:left w:w="80" w:type="dxa"/>
              <w:bottom w:w="80" w:type="dxa"/>
              <w:right w:w="80" w:type="dxa"/>
            </w:tcMar>
            <w:vAlign w:val="top"/>
          </w:tcPr>
          <w:p w14:paraId="3B112038">
            <w:pPr>
              <w:spacing w:after="0" w:line="240" w:lineRule="auto"/>
            </w:pPr>
            <w:r>
              <w:rPr>
                <w:rFonts w:ascii="Times New Roman" w:hAnsi="Times New Roman" w:eastAsia="Times New Roman"/>
                <w:sz w:val="18"/>
              </w:rPr>
              <w:t>My farm’s drug-use decisions can affect people and environments beyond my farm.</w:t>
            </w:r>
          </w:p>
        </w:tc>
        <w:tc>
          <w:tcPr>
            <w:tcW w:w="1584" w:type="dxa"/>
            <w:tcMar>
              <w:top w:w="80" w:type="dxa"/>
              <w:left w:w="80" w:type="dxa"/>
              <w:bottom w:w="80" w:type="dxa"/>
              <w:right w:w="80" w:type="dxa"/>
            </w:tcMar>
            <w:vAlign w:val="top"/>
          </w:tcPr>
          <w:p w14:paraId="69B43040">
            <w:pPr>
              <w:spacing w:after="0" w:line="240" w:lineRule="auto"/>
            </w:pPr>
            <w:r>
              <w:rPr>
                <w:rFonts w:ascii="Times New Roman" w:hAnsi="Times New Roman" w:eastAsia="Times New Roman"/>
                <w:sz w:val="18"/>
              </w:rPr>
              <w:t>1–7 agreement scale</w:t>
            </w:r>
          </w:p>
        </w:tc>
      </w:tr>
      <w:tr w14:paraId="6970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AF56F59">
            <w:pPr>
              <w:spacing w:after="0" w:line="240" w:lineRule="auto"/>
            </w:pPr>
            <w:r>
              <w:rPr>
                <w:rFonts w:ascii="Times New Roman" w:hAnsi="Times New Roman" w:eastAsia="Times New Roman"/>
                <w:sz w:val="18"/>
              </w:rPr>
              <w:t>C4</w:t>
            </w:r>
          </w:p>
        </w:tc>
        <w:tc>
          <w:tcPr>
            <w:tcW w:w="7848" w:type="dxa"/>
            <w:tcMar>
              <w:top w:w="80" w:type="dxa"/>
              <w:left w:w="80" w:type="dxa"/>
              <w:bottom w:w="80" w:type="dxa"/>
              <w:right w:w="80" w:type="dxa"/>
            </w:tcMar>
            <w:vAlign w:val="top"/>
          </w:tcPr>
          <w:p w14:paraId="5F1D949A">
            <w:pPr>
              <w:spacing w:after="0" w:line="240" w:lineRule="auto"/>
            </w:pPr>
            <w:r>
              <w:rPr>
                <w:rFonts w:ascii="Times New Roman" w:hAnsi="Times New Roman" w:eastAsia="Times New Roman"/>
                <w:sz w:val="18"/>
              </w:rPr>
              <w:t>I have a responsibility to protect farm workers and communities from avoidable antimicrobial-related risks.</w:t>
            </w:r>
          </w:p>
        </w:tc>
        <w:tc>
          <w:tcPr>
            <w:tcW w:w="1584" w:type="dxa"/>
            <w:tcMar>
              <w:top w:w="80" w:type="dxa"/>
              <w:left w:w="80" w:type="dxa"/>
              <w:bottom w:w="80" w:type="dxa"/>
              <w:right w:w="80" w:type="dxa"/>
            </w:tcMar>
            <w:vAlign w:val="top"/>
          </w:tcPr>
          <w:p w14:paraId="51F567B5">
            <w:pPr>
              <w:spacing w:after="0" w:line="240" w:lineRule="auto"/>
            </w:pPr>
            <w:r>
              <w:rPr>
                <w:rFonts w:ascii="Times New Roman" w:hAnsi="Times New Roman" w:eastAsia="Times New Roman"/>
                <w:sz w:val="18"/>
              </w:rPr>
              <w:t>1–7 agreement scale</w:t>
            </w:r>
          </w:p>
        </w:tc>
      </w:tr>
      <w:tr w14:paraId="2AF6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4007DD89">
            <w:pPr>
              <w:spacing w:after="0" w:line="240" w:lineRule="auto"/>
            </w:pPr>
            <w:r>
              <w:rPr>
                <w:rFonts w:ascii="Times New Roman" w:hAnsi="Times New Roman" w:eastAsia="Times New Roman"/>
                <w:sz w:val="18"/>
              </w:rPr>
              <w:t>C5</w:t>
            </w:r>
          </w:p>
        </w:tc>
        <w:tc>
          <w:tcPr>
            <w:tcW w:w="7848" w:type="dxa"/>
            <w:tcMar>
              <w:top w:w="80" w:type="dxa"/>
              <w:left w:w="80" w:type="dxa"/>
              <w:bottom w:w="80" w:type="dxa"/>
              <w:right w:w="80" w:type="dxa"/>
            </w:tcMar>
            <w:vAlign w:val="top"/>
          </w:tcPr>
          <w:p w14:paraId="7FC5F4F3">
            <w:pPr>
              <w:spacing w:after="0" w:line="240" w:lineRule="auto"/>
            </w:pPr>
            <w:r>
              <w:rPr>
                <w:rFonts w:ascii="Times New Roman" w:hAnsi="Times New Roman" w:eastAsia="Times New Roman"/>
                <w:sz w:val="18"/>
              </w:rPr>
              <w:t>Even when disease pressure is high, I should consider long-term resistance risks.</w:t>
            </w:r>
          </w:p>
        </w:tc>
        <w:tc>
          <w:tcPr>
            <w:tcW w:w="1584" w:type="dxa"/>
            <w:tcMar>
              <w:top w:w="80" w:type="dxa"/>
              <w:left w:w="80" w:type="dxa"/>
              <w:bottom w:w="80" w:type="dxa"/>
              <w:right w:w="80" w:type="dxa"/>
            </w:tcMar>
            <w:vAlign w:val="top"/>
          </w:tcPr>
          <w:p w14:paraId="1BDCAFE9">
            <w:pPr>
              <w:spacing w:after="0" w:line="240" w:lineRule="auto"/>
            </w:pPr>
            <w:r>
              <w:rPr>
                <w:rFonts w:ascii="Times New Roman" w:hAnsi="Times New Roman" w:eastAsia="Times New Roman"/>
                <w:sz w:val="18"/>
              </w:rPr>
              <w:t>1–7 agreement scale</w:t>
            </w:r>
          </w:p>
        </w:tc>
      </w:tr>
      <w:tr w14:paraId="0CC4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F3A8379">
            <w:pPr>
              <w:spacing w:after="0" w:line="240" w:lineRule="auto"/>
            </w:pPr>
            <w:r>
              <w:rPr>
                <w:rFonts w:ascii="Times New Roman" w:hAnsi="Times New Roman" w:eastAsia="Times New Roman"/>
                <w:sz w:val="18"/>
              </w:rPr>
              <w:t>C6</w:t>
            </w:r>
          </w:p>
        </w:tc>
        <w:tc>
          <w:tcPr>
            <w:tcW w:w="7848" w:type="dxa"/>
            <w:tcMar>
              <w:top w:w="80" w:type="dxa"/>
              <w:left w:w="80" w:type="dxa"/>
              <w:bottom w:w="80" w:type="dxa"/>
              <w:right w:w="80" w:type="dxa"/>
            </w:tcMar>
            <w:vAlign w:val="top"/>
          </w:tcPr>
          <w:p w14:paraId="4B332D0E">
            <w:pPr>
              <w:spacing w:after="0" w:line="240" w:lineRule="auto"/>
            </w:pPr>
            <w:r>
              <w:rPr>
                <w:rFonts w:ascii="Times New Roman" w:hAnsi="Times New Roman" w:eastAsia="Times New Roman"/>
                <w:sz w:val="18"/>
              </w:rPr>
              <w:t>Following prudent antimicrobial practices is part of my responsibility to animals, buyers, and the food system.</w:t>
            </w:r>
          </w:p>
        </w:tc>
        <w:tc>
          <w:tcPr>
            <w:tcW w:w="1584" w:type="dxa"/>
            <w:tcMar>
              <w:top w:w="80" w:type="dxa"/>
              <w:left w:w="80" w:type="dxa"/>
              <w:bottom w:w="80" w:type="dxa"/>
              <w:right w:w="80" w:type="dxa"/>
            </w:tcMar>
            <w:vAlign w:val="top"/>
          </w:tcPr>
          <w:p w14:paraId="49AAF2DB">
            <w:pPr>
              <w:spacing w:after="0" w:line="240" w:lineRule="auto"/>
            </w:pPr>
            <w:r>
              <w:rPr>
                <w:rFonts w:ascii="Times New Roman" w:hAnsi="Times New Roman" w:eastAsia="Times New Roman"/>
                <w:sz w:val="18"/>
              </w:rPr>
              <w:t>1–7 agreement scale</w:t>
            </w:r>
          </w:p>
        </w:tc>
      </w:tr>
    </w:tbl>
    <w:p w14:paraId="6CD4E310"/>
    <w:p w14:paraId="500BC9CF">
      <w:pPr>
        <w:pStyle w:val="3"/>
        <w:keepNext/>
        <w:spacing w:before="120" w:after="80"/>
      </w:pPr>
      <w:r>
        <w:rPr>
          <w:rFonts w:ascii="Times New Roman" w:hAnsi="Times New Roman" w:eastAsia="Times New Roman"/>
          <w:b/>
          <w:sz w:val="26"/>
        </w:rPr>
        <w:t>Section D. Regulatory Trust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6316"/>
        <w:gridCol w:w="1423"/>
      </w:tblGrid>
      <w:tr w14:paraId="544F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114CAC18">
            <w:pPr>
              <w:spacing w:after="0" w:line="240" w:lineRule="auto"/>
              <w:jc w:val="center"/>
            </w:pPr>
            <w:r>
              <w:rPr>
                <w:rFonts w:ascii="Times New Roman" w:hAnsi="Times New Roman" w:eastAsia="Times New Roman"/>
                <w:b/>
                <w:sz w:val="18"/>
              </w:rPr>
              <w:t>Item</w:t>
            </w:r>
          </w:p>
        </w:tc>
        <w:tc>
          <w:tcPr>
            <w:tcW w:w="7848" w:type="dxa"/>
            <w:shd w:val="clear" w:color="auto" w:fill="D9D9D9"/>
            <w:tcMar>
              <w:top w:w="80" w:type="dxa"/>
              <w:left w:w="80" w:type="dxa"/>
              <w:bottom w:w="80" w:type="dxa"/>
              <w:right w:w="80" w:type="dxa"/>
            </w:tcMar>
            <w:vAlign w:val="center"/>
          </w:tcPr>
          <w:p w14:paraId="6929B22F">
            <w:pPr>
              <w:spacing w:after="0" w:line="240" w:lineRule="auto"/>
              <w:jc w:val="center"/>
            </w:pPr>
            <w:r>
              <w:rPr>
                <w:rFonts w:ascii="Times New Roman" w:hAnsi="Times New Roman" w:eastAsia="Times New Roman"/>
                <w:b/>
                <w:sz w:val="18"/>
              </w:rPr>
              <w:t>Statement</w:t>
            </w:r>
          </w:p>
        </w:tc>
        <w:tc>
          <w:tcPr>
            <w:tcW w:w="1584" w:type="dxa"/>
            <w:shd w:val="clear" w:color="auto" w:fill="D9D9D9"/>
            <w:tcMar>
              <w:top w:w="80" w:type="dxa"/>
              <w:left w:w="80" w:type="dxa"/>
              <w:bottom w:w="80" w:type="dxa"/>
              <w:right w:w="80" w:type="dxa"/>
            </w:tcMar>
            <w:vAlign w:val="center"/>
          </w:tcPr>
          <w:p w14:paraId="703A2965">
            <w:pPr>
              <w:spacing w:after="0" w:line="240" w:lineRule="auto"/>
              <w:jc w:val="center"/>
            </w:pPr>
            <w:r>
              <w:rPr>
                <w:rFonts w:ascii="Times New Roman" w:hAnsi="Times New Roman" w:eastAsia="Times New Roman"/>
                <w:b/>
                <w:sz w:val="18"/>
              </w:rPr>
              <w:t>Response</w:t>
            </w:r>
          </w:p>
        </w:tc>
      </w:tr>
      <w:tr w14:paraId="353E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1D386315">
            <w:pPr>
              <w:spacing w:after="0" w:line="240" w:lineRule="auto"/>
            </w:pPr>
            <w:r>
              <w:rPr>
                <w:rFonts w:ascii="Times New Roman" w:hAnsi="Times New Roman" w:eastAsia="Times New Roman"/>
                <w:sz w:val="18"/>
              </w:rPr>
              <w:t>D1</w:t>
            </w:r>
          </w:p>
        </w:tc>
        <w:tc>
          <w:tcPr>
            <w:tcW w:w="7848" w:type="dxa"/>
            <w:tcMar>
              <w:top w:w="80" w:type="dxa"/>
              <w:left w:w="80" w:type="dxa"/>
              <w:bottom w:w="80" w:type="dxa"/>
              <w:right w:w="80" w:type="dxa"/>
            </w:tcMar>
            <w:vAlign w:val="top"/>
          </w:tcPr>
          <w:p w14:paraId="406F4DB6">
            <w:pPr>
              <w:spacing w:after="0" w:line="240" w:lineRule="auto"/>
            </w:pPr>
            <w:r>
              <w:rPr>
                <w:rFonts w:ascii="Times New Roman" w:hAnsi="Times New Roman" w:eastAsia="Times New Roman"/>
                <w:sz w:val="18"/>
              </w:rPr>
              <w:t>Local agricultural regulators provide clear information about antimicrobial-use requirements.</w:t>
            </w:r>
          </w:p>
        </w:tc>
        <w:tc>
          <w:tcPr>
            <w:tcW w:w="1584" w:type="dxa"/>
            <w:tcMar>
              <w:top w:w="80" w:type="dxa"/>
              <w:left w:w="80" w:type="dxa"/>
              <w:bottom w:w="80" w:type="dxa"/>
              <w:right w:w="80" w:type="dxa"/>
            </w:tcMar>
            <w:vAlign w:val="top"/>
          </w:tcPr>
          <w:p w14:paraId="061E4038">
            <w:pPr>
              <w:spacing w:after="0" w:line="240" w:lineRule="auto"/>
            </w:pPr>
            <w:r>
              <w:rPr>
                <w:rFonts w:ascii="Times New Roman" w:hAnsi="Times New Roman" w:eastAsia="Times New Roman"/>
                <w:sz w:val="18"/>
              </w:rPr>
              <w:t>1–7 agreement scale</w:t>
            </w:r>
          </w:p>
        </w:tc>
      </w:tr>
      <w:tr w14:paraId="45BA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5A6B804A">
            <w:pPr>
              <w:spacing w:after="0" w:line="240" w:lineRule="auto"/>
            </w:pPr>
            <w:r>
              <w:rPr>
                <w:rFonts w:ascii="Times New Roman" w:hAnsi="Times New Roman" w:eastAsia="Times New Roman"/>
                <w:sz w:val="18"/>
              </w:rPr>
              <w:t>D2</w:t>
            </w:r>
          </w:p>
        </w:tc>
        <w:tc>
          <w:tcPr>
            <w:tcW w:w="7848" w:type="dxa"/>
            <w:tcMar>
              <w:top w:w="80" w:type="dxa"/>
              <w:left w:w="80" w:type="dxa"/>
              <w:bottom w:w="80" w:type="dxa"/>
              <w:right w:w="80" w:type="dxa"/>
            </w:tcMar>
            <w:vAlign w:val="top"/>
          </w:tcPr>
          <w:p w14:paraId="71F34BAB">
            <w:pPr>
              <w:spacing w:after="0" w:line="240" w:lineRule="auto"/>
            </w:pPr>
            <w:r>
              <w:rPr>
                <w:rFonts w:ascii="Times New Roman" w:hAnsi="Times New Roman" w:eastAsia="Times New Roman"/>
                <w:sz w:val="18"/>
              </w:rPr>
              <w:t>Inspection and residue-testing procedures are applied fairly.</w:t>
            </w:r>
          </w:p>
        </w:tc>
        <w:tc>
          <w:tcPr>
            <w:tcW w:w="1584" w:type="dxa"/>
            <w:tcMar>
              <w:top w:w="80" w:type="dxa"/>
              <w:left w:w="80" w:type="dxa"/>
              <w:bottom w:w="80" w:type="dxa"/>
              <w:right w:w="80" w:type="dxa"/>
            </w:tcMar>
            <w:vAlign w:val="top"/>
          </w:tcPr>
          <w:p w14:paraId="35EE20C0">
            <w:pPr>
              <w:spacing w:after="0" w:line="240" w:lineRule="auto"/>
            </w:pPr>
            <w:r>
              <w:rPr>
                <w:rFonts w:ascii="Times New Roman" w:hAnsi="Times New Roman" w:eastAsia="Times New Roman"/>
                <w:sz w:val="18"/>
              </w:rPr>
              <w:t>1–7 agreement scale</w:t>
            </w:r>
          </w:p>
        </w:tc>
      </w:tr>
      <w:tr w14:paraId="77F1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9FD038C">
            <w:pPr>
              <w:spacing w:after="0" w:line="240" w:lineRule="auto"/>
            </w:pPr>
            <w:r>
              <w:rPr>
                <w:rFonts w:ascii="Times New Roman" w:hAnsi="Times New Roman" w:eastAsia="Times New Roman"/>
                <w:sz w:val="18"/>
              </w:rPr>
              <w:t>D3</w:t>
            </w:r>
          </w:p>
        </w:tc>
        <w:tc>
          <w:tcPr>
            <w:tcW w:w="7848" w:type="dxa"/>
            <w:tcMar>
              <w:top w:w="80" w:type="dxa"/>
              <w:left w:w="80" w:type="dxa"/>
              <w:bottom w:w="80" w:type="dxa"/>
              <w:right w:w="80" w:type="dxa"/>
            </w:tcMar>
            <w:vAlign w:val="top"/>
          </w:tcPr>
          <w:p w14:paraId="0AD3E9DC">
            <w:pPr>
              <w:spacing w:after="0" w:line="240" w:lineRule="auto"/>
            </w:pPr>
            <w:r>
              <w:rPr>
                <w:rFonts w:ascii="Times New Roman" w:hAnsi="Times New Roman" w:eastAsia="Times New Roman"/>
                <w:sz w:val="18"/>
              </w:rPr>
              <w:t>Penalties for non-compliance are predictable and proportionate.</w:t>
            </w:r>
          </w:p>
        </w:tc>
        <w:tc>
          <w:tcPr>
            <w:tcW w:w="1584" w:type="dxa"/>
            <w:tcMar>
              <w:top w:w="80" w:type="dxa"/>
              <w:left w:w="80" w:type="dxa"/>
              <w:bottom w:w="80" w:type="dxa"/>
              <w:right w:w="80" w:type="dxa"/>
            </w:tcMar>
            <w:vAlign w:val="top"/>
          </w:tcPr>
          <w:p w14:paraId="3C59A2D0">
            <w:pPr>
              <w:spacing w:after="0" w:line="240" w:lineRule="auto"/>
            </w:pPr>
            <w:r>
              <w:rPr>
                <w:rFonts w:ascii="Times New Roman" w:hAnsi="Times New Roman" w:eastAsia="Times New Roman"/>
                <w:sz w:val="18"/>
              </w:rPr>
              <w:t>1–7 agreement scale</w:t>
            </w:r>
          </w:p>
        </w:tc>
      </w:tr>
      <w:tr w14:paraId="5EFD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477A69D8">
            <w:pPr>
              <w:spacing w:after="0" w:line="240" w:lineRule="auto"/>
            </w:pPr>
            <w:r>
              <w:rPr>
                <w:rFonts w:ascii="Times New Roman" w:hAnsi="Times New Roman" w:eastAsia="Times New Roman"/>
                <w:sz w:val="18"/>
              </w:rPr>
              <w:t>D4</w:t>
            </w:r>
          </w:p>
        </w:tc>
        <w:tc>
          <w:tcPr>
            <w:tcW w:w="7848" w:type="dxa"/>
            <w:tcMar>
              <w:top w:w="80" w:type="dxa"/>
              <w:left w:w="80" w:type="dxa"/>
              <w:bottom w:w="80" w:type="dxa"/>
              <w:right w:w="80" w:type="dxa"/>
            </w:tcMar>
            <w:vAlign w:val="top"/>
          </w:tcPr>
          <w:p w14:paraId="741B3FF6">
            <w:pPr>
              <w:spacing w:after="0" w:line="240" w:lineRule="auto"/>
            </w:pPr>
            <w:r>
              <w:rPr>
                <w:rFonts w:ascii="Times New Roman" w:hAnsi="Times New Roman" w:eastAsia="Times New Roman"/>
                <w:sz w:val="18"/>
              </w:rPr>
              <w:t>Regulators have the technical competence needed to oversee antimicrobial stewardship.</w:t>
            </w:r>
          </w:p>
        </w:tc>
        <w:tc>
          <w:tcPr>
            <w:tcW w:w="1584" w:type="dxa"/>
            <w:tcMar>
              <w:top w:w="80" w:type="dxa"/>
              <w:left w:w="80" w:type="dxa"/>
              <w:bottom w:w="80" w:type="dxa"/>
              <w:right w:w="80" w:type="dxa"/>
            </w:tcMar>
            <w:vAlign w:val="top"/>
          </w:tcPr>
          <w:p w14:paraId="00C2FEA8">
            <w:pPr>
              <w:spacing w:after="0" w:line="240" w:lineRule="auto"/>
            </w:pPr>
            <w:r>
              <w:rPr>
                <w:rFonts w:ascii="Times New Roman" w:hAnsi="Times New Roman" w:eastAsia="Times New Roman"/>
                <w:sz w:val="18"/>
              </w:rPr>
              <w:t>1–7 agreement scale</w:t>
            </w:r>
          </w:p>
        </w:tc>
      </w:tr>
      <w:tr w14:paraId="78BF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58CBC57">
            <w:pPr>
              <w:spacing w:after="0" w:line="240" w:lineRule="auto"/>
            </w:pPr>
            <w:r>
              <w:rPr>
                <w:rFonts w:ascii="Times New Roman" w:hAnsi="Times New Roman" w:eastAsia="Times New Roman"/>
                <w:sz w:val="18"/>
              </w:rPr>
              <w:t>D5</w:t>
            </w:r>
          </w:p>
        </w:tc>
        <w:tc>
          <w:tcPr>
            <w:tcW w:w="7848" w:type="dxa"/>
            <w:tcMar>
              <w:top w:w="80" w:type="dxa"/>
              <w:left w:w="80" w:type="dxa"/>
              <w:bottom w:w="80" w:type="dxa"/>
              <w:right w:w="80" w:type="dxa"/>
            </w:tcMar>
            <w:vAlign w:val="top"/>
          </w:tcPr>
          <w:p w14:paraId="462B8DA0">
            <w:pPr>
              <w:spacing w:after="0" w:line="240" w:lineRule="auto"/>
            </w:pPr>
            <w:r>
              <w:rPr>
                <w:rFonts w:ascii="Times New Roman" w:hAnsi="Times New Roman" w:eastAsia="Times New Roman"/>
                <w:sz w:val="18"/>
              </w:rPr>
              <w:t>Regulatory authorities help producers comply rather than only punish them.</w:t>
            </w:r>
          </w:p>
        </w:tc>
        <w:tc>
          <w:tcPr>
            <w:tcW w:w="1584" w:type="dxa"/>
            <w:tcMar>
              <w:top w:w="80" w:type="dxa"/>
              <w:left w:w="80" w:type="dxa"/>
              <w:bottom w:w="80" w:type="dxa"/>
              <w:right w:w="80" w:type="dxa"/>
            </w:tcMar>
            <w:vAlign w:val="top"/>
          </w:tcPr>
          <w:p w14:paraId="301B7E26">
            <w:pPr>
              <w:spacing w:after="0" w:line="240" w:lineRule="auto"/>
            </w:pPr>
            <w:r>
              <w:rPr>
                <w:rFonts w:ascii="Times New Roman" w:hAnsi="Times New Roman" w:eastAsia="Times New Roman"/>
                <w:sz w:val="18"/>
              </w:rPr>
              <w:t>1–7 agreement scale</w:t>
            </w:r>
          </w:p>
        </w:tc>
      </w:tr>
      <w:tr w14:paraId="7AB1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6D034C9">
            <w:pPr>
              <w:spacing w:after="0" w:line="240" w:lineRule="auto"/>
            </w:pPr>
            <w:r>
              <w:rPr>
                <w:rFonts w:ascii="Times New Roman" w:hAnsi="Times New Roman" w:eastAsia="Times New Roman"/>
                <w:sz w:val="18"/>
              </w:rPr>
              <w:t>D6</w:t>
            </w:r>
          </w:p>
        </w:tc>
        <w:tc>
          <w:tcPr>
            <w:tcW w:w="7848" w:type="dxa"/>
            <w:tcMar>
              <w:top w:w="80" w:type="dxa"/>
              <w:left w:w="80" w:type="dxa"/>
              <w:bottom w:w="80" w:type="dxa"/>
              <w:right w:w="80" w:type="dxa"/>
            </w:tcMar>
            <w:vAlign w:val="top"/>
          </w:tcPr>
          <w:p w14:paraId="55F6C916">
            <w:pPr>
              <w:spacing w:after="0" w:line="240" w:lineRule="auto"/>
            </w:pPr>
            <w:r>
              <w:rPr>
                <w:rFonts w:ascii="Times New Roman" w:hAnsi="Times New Roman" w:eastAsia="Times New Roman"/>
                <w:sz w:val="18"/>
              </w:rPr>
              <w:t>I trust regulators to use farm-level information responsibly.</w:t>
            </w:r>
          </w:p>
        </w:tc>
        <w:tc>
          <w:tcPr>
            <w:tcW w:w="1584" w:type="dxa"/>
            <w:tcMar>
              <w:top w:w="80" w:type="dxa"/>
              <w:left w:w="80" w:type="dxa"/>
              <w:bottom w:w="80" w:type="dxa"/>
              <w:right w:w="80" w:type="dxa"/>
            </w:tcMar>
            <w:vAlign w:val="top"/>
          </w:tcPr>
          <w:p w14:paraId="709B3533">
            <w:pPr>
              <w:spacing w:after="0" w:line="240" w:lineRule="auto"/>
            </w:pPr>
            <w:r>
              <w:rPr>
                <w:rFonts w:ascii="Times New Roman" w:hAnsi="Times New Roman" w:eastAsia="Times New Roman"/>
                <w:sz w:val="18"/>
              </w:rPr>
              <w:t>1–7 agreement scale</w:t>
            </w:r>
          </w:p>
        </w:tc>
      </w:tr>
    </w:tbl>
    <w:p w14:paraId="68DD16FF"/>
    <w:p w14:paraId="6EB0FC71">
      <w:pPr>
        <w:pStyle w:val="3"/>
        <w:keepNext/>
        <w:spacing w:before="120" w:after="80"/>
      </w:pPr>
      <w:r>
        <w:rPr>
          <w:rFonts w:ascii="Times New Roman" w:hAnsi="Times New Roman" w:eastAsia="Times New Roman"/>
          <w:b/>
          <w:sz w:val="26"/>
        </w:rPr>
        <w:t>Section E. Veterinary Trust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6307"/>
        <w:gridCol w:w="1429"/>
      </w:tblGrid>
      <w:tr w14:paraId="5BFD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768C1B76">
            <w:pPr>
              <w:spacing w:after="0" w:line="240" w:lineRule="auto"/>
              <w:jc w:val="center"/>
            </w:pPr>
            <w:r>
              <w:rPr>
                <w:rFonts w:ascii="Times New Roman" w:hAnsi="Times New Roman" w:eastAsia="Times New Roman"/>
                <w:b/>
                <w:sz w:val="18"/>
              </w:rPr>
              <w:t>Item</w:t>
            </w:r>
          </w:p>
        </w:tc>
        <w:tc>
          <w:tcPr>
            <w:tcW w:w="7848" w:type="dxa"/>
            <w:shd w:val="clear" w:color="auto" w:fill="D9D9D9"/>
            <w:tcMar>
              <w:top w:w="80" w:type="dxa"/>
              <w:left w:w="80" w:type="dxa"/>
              <w:bottom w:w="80" w:type="dxa"/>
              <w:right w:w="80" w:type="dxa"/>
            </w:tcMar>
            <w:vAlign w:val="center"/>
          </w:tcPr>
          <w:p w14:paraId="3A3B99D0">
            <w:pPr>
              <w:spacing w:after="0" w:line="240" w:lineRule="auto"/>
              <w:jc w:val="center"/>
            </w:pPr>
            <w:r>
              <w:rPr>
                <w:rFonts w:ascii="Times New Roman" w:hAnsi="Times New Roman" w:eastAsia="Times New Roman"/>
                <w:b/>
                <w:sz w:val="18"/>
              </w:rPr>
              <w:t>Statement</w:t>
            </w:r>
          </w:p>
        </w:tc>
        <w:tc>
          <w:tcPr>
            <w:tcW w:w="1584" w:type="dxa"/>
            <w:shd w:val="clear" w:color="auto" w:fill="D9D9D9"/>
            <w:tcMar>
              <w:top w:w="80" w:type="dxa"/>
              <w:left w:w="80" w:type="dxa"/>
              <w:bottom w:w="80" w:type="dxa"/>
              <w:right w:w="80" w:type="dxa"/>
            </w:tcMar>
            <w:vAlign w:val="center"/>
          </w:tcPr>
          <w:p w14:paraId="62E8D2F6">
            <w:pPr>
              <w:spacing w:after="0" w:line="240" w:lineRule="auto"/>
              <w:jc w:val="center"/>
            </w:pPr>
            <w:r>
              <w:rPr>
                <w:rFonts w:ascii="Times New Roman" w:hAnsi="Times New Roman" w:eastAsia="Times New Roman"/>
                <w:b/>
                <w:sz w:val="18"/>
              </w:rPr>
              <w:t>Response</w:t>
            </w:r>
          </w:p>
        </w:tc>
      </w:tr>
      <w:tr w14:paraId="701B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93952A3">
            <w:pPr>
              <w:spacing w:after="0" w:line="240" w:lineRule="auto"/>
            </w:pPr>
            <w:r>
              <w:rPr>
                <w:rFonts w:ascii="Times New Roman" w:hAnsi="Times New Roman" w:eastAsia="Times New Roman"/>
                <w:sz w:val="18"/>
              </w:rPr>
              <w:t>E1</w:t>
            </w:r>
          </w:p>
        </w:tc>
        <w:tc>
          <w:tcPr>
            <w:tcW w:w="7848" w:type="dxa"/>
            <w:tcMar>
              <w:top w:w="80" w:type="dxa"/>
              <w:left w:w="80" w:type="dxa"/>
              <w:bottom w:w="80" w:type="dxa"/>
              <w:right w:w="80" w:type="dxa"/>
            </w:tcMar>
            <w:vAlign w:val="top"/>
          </w:tcPr>
          <w:p w14:paraId="41EB99C2">
            <w:pPr>
              <w:spacing w:after="0" w:line="240" w:lineRule="auto"/>
            </w:pPr>
            <w:r>
              <w:rPr>
                <w:rFonts w:ascii="Times New Roman" w:hAnsi="Times New Roman" w:eastAsia="Times New Roman"/>
                <w:sz w:val="18"/>
              </w:rPr>
              <w:t>Veterinarians or veterinary technicians provide accurate diagnoses.</w:t>
            </w:r>
          </w:p>
        </w:tc>
        <w:tc>
          <w:tcPr>
            <w:tcW w:w="1584" w:type="dxa"/>
            <w:tcMar>
              <w:top w:w="80" w:type="dxa"/>
              <w:left w:w="80" w:type="dxa"/>
              <w:bottom w:w="80" w:type="dxa"/>
              <w:right w:w="80" w:type="dxa"/>
            </w:tcMar>
            <w:vAlign w:val="top"/>
          </w:tcPr>
          <w:p w14:paraId="59A6C6CB">
            <w:pPr>
              <w:spacing w:after="0" w:line="240" w:lineRule="auto"/>
            </w:pPr>
            <w:r>
              <w:rPr>
                <w:rFonts w:ascii="Times New Roman" w:hAnsi="Times New Roman" w:eastAsia="Times New Roman"/>
                <w:sz w:val="18"/>
              </w:rPr>
              <w:t>1–7 agreement scale</w:t>
            </w:r>
          </w:p>
        </w:tc>
      </w:tr>
      <w:tr w14:paraId="5B24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5E1B930B">
            <w:pPr>
              <w:spacing w:after="0" w:line="240" w:lineRule="auto"/>
            </w:pPr>
            <w:r>
              <w:rPr>
                <w:rFonts w:ascii="Times New Roman" w:hAnsi="Times New Roman" w:eastAsia="Times New Roman"/>
                <w:sz w:val="18"/>
              </w:rPr>
              <w:t>E2</w:t>
            </w:r>
          </w:p>
        </w:tc>
        <w:tc>
          <w:tcPr>
            <w:tcW w:w="7848" w:type="dxa"/>
            <w:tcMar>
              <w:top w:w="80" w:type="dxa"/>
              <w:left w:w="80" w:type="dxa"/>
              <w:bottom w:w="80" w:type="dxa"/>
              <w:right w:w="80" w:type="dxa"/>
            </w:tcMar>
            <w:vAlign w:val="top"/>
          </w:tcPr>
          <w:p w14:paraId="017DB399">
            <w:pPr>
              <w:spacing w:after="0" w:line="240" w:lineRule="auto"/>
            </w:pPr>
            <w:r>
              <w:rPr>
                <w:rFonts w:ascii="Times New Roman" w:hAnsi="Times New Roman" w:eastAsia="Times New Roman"/>
                <w:sz w:val="18"/>
              </w:rPr>
              <w:t>Veterinary advice about antimicrobial choice, dosage, and duration is practically useful.</w:t>
            </w:r>
          </w:p>
        </w:tc>
        <w:tc>
          <w:tcPr>
            <w:tcW w:w="1584" w:type="dxa"/>
            <w:tcMar>
              <w:top w:w="80" w:type="dxa"/>
              <w:left w:w="80" w:type="dxa"/>
              <w:bottom w:w="80" w:type="dxa"/>
              <w:right w:w="80" w:type="dxa"/>
            </w:tcMar>
            <w:vAlign w:val="top"/>
          </w:tcPr>
          <w:p w14:paraId="16A86F09">
            <w:pPr>
              <w:spacing w:after="0" w:line="240" w:lineRule="auto"/>
            </w:pPr>
            <w:r>
              <w:rPr>
                <w:rFonts w:ascii="Times New Roman" w:hAnsi="Times New Roman" w:eastAsia="Times New Roman"/>
                <w:sz w:val="18"/>
              </w:rPr>
              <w:t>1–7 agreement scale</w:t>
            </w:r>
          </w:p>
        </w:tc>
      </w:tr>
      <w:tr w14:paraId="6907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1FEDDA50">
            <w:pPr>
              <w:spacing w:after="0" w:line="240" w:lineRule="auto"/>
            </w:pPr>
            <w:r>
              <w:rPr>
                <w:rFonts w:ascii="Times New Roman" w:hAnsi="Times New Roman" w:eastAsia="Times New Roman"/>
                <w:sz w:val="18"/>
              </w:rPr>
              <w:t>E3</w:t>
            </w:r>
          </w:p>
        </w:tc>
        <w:tc>
          <w:tcPr>
            <w:tcW w:w="7848" w:type="dxa"/>
            <w:tcMar>
              <w:top w:w="80" w:type="dxa"/>
              <w:left w:w="80" w:type="dxa"/>
              <w:bottom w:w="80" w:type="dxa"/>
              <w:right w:w="80" w:type="dxa"/>
            </w:tcMar>
            <w:vAlign w:val="top"/>
          </w:tcPr>
          <w:p w14:paraId="556F3888">
            <w:pPr>
              <w:spacing w:after="0" w:line="240" w:lineRule="auto"/>
            </w:pPr>
            <w:r>
              <w:rPr>
                <w:rFonts w:ascii="Times New Roman" w:hAnsi="Times New Roman" w:eastAsia="Times New Roman"/>
                <w:sz w:val="18"/>
              </w:rPr>
              <w:t>Veterinary professionals recommend medicines responsibly rather than mainly for commercial reasons.</w:t>
            </w:r>
          </w:p>
        </w:tc>
        <w:tc>
          <w:tcPr>
            <w:tcW w:w="1584" w:type="dxa"/>
            <w:tcMar>
              <w:top w:w="80" w:type="dxa"/>
              <w:left w:w="80" w:type="dxa"/>
              <w:bottom w:w="80" w:type="dxa"/>
              <w:right w:w="80" w:type="dxa"/>
            </w:tcMar>
            <w:vAlign w:val="top"/>
          </w:tcPr>
          <w:p w14:paraId="731F069F">
            <w:pPr>
              <w:spacing w:after="0" w:line="240" w:lineRule="auto"/>
            </w:pPr>
            <w:r>
              <w:rPr>
                <w:rFonts w:ascii="Times New Roman" w:hAnsi="Times New Roman" w:eastAsia="Times New Roman"/>
                <w:sz w:val="18"/>
              </w:rPr>
              <w:t>1–7 agreement scale</w:t>
            </w:r>
          </w:p>
        </w:tc>
      </w:tr>
      <w:tr w14:paraId="126F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3A49BA57">
            <w:pPr>
              <w:spacing w:after="0" w:line="240" w:lineRule="auto"/>
            </w:pPr>
            <w:r>
              <w:rPr>
                <w:rFonts w:ascii="Times New Roman" w:hAnsi="Times New Roman" w:eastAsia="Times New Roman"/>
                <w:sz w:val="18"/>
              </w:rPr>
              <w:t>E4</w:t>
            </w:r>
          </w:p>
        </w:tc>
        <w:tc>
          <w:tcPr>
            <w:tcW w:w="7848" w:type="dxa"/>
            <w:tcMar>
              <w:top w:w="80" w:type="dxa"/>
              <w:left w:w="80" w:type="dxa"/>
              <w:bottom w:w="80" w:type="dxa"/>
              <w:right w:w="80" w:type="dxa"/>
            </w:tcMar>
            <w:vAlign w:val="top"/>
          </w:tcPr>
          <w:p w14:paraId="307B60F3">
            <w:pPr>
              <w:spacing w:after="0" w:line="240" w:lineRule="auto"/>
            </w:pPr>
            <w:r>
              <w:rPr>
                <w:rFonts w:ascii="Times New Roman" w:hAnsi="Times New Roman" w:eastAsia="Times New Roman"/>
                <w:sz w:val="18"/>
              </w:rPr>
              <w:t>I can obtain qualified veterinary help when animals become sick.</w:t>
            </w:r>
          </w:p>
        </w:tc>
        <w:tc>
          <w:tcPr>
            <w:tcW w:w="1584" w:type="dxa"/>
            <w:tcMar>
              <w:top w:w="80" w:type="dxa"/>
              <w:left w:w="80" w:type="dxa"/>
              <w:bottom w:w="80" w:type="dxa"/>
              <w:right w:w="80" w:type="dxa"/>
            </w:tcMar>
            <w:vAlign w:val="top"/>
          </w:tcPr>
          <w:p w14:paraId="3D36BA4A">
            <w:pPr>
              <w:spacing w:after="0" w:line="240" w:lineRule="auto"/>
            </w:pPr>
            <w:r>
              <w:rPr>
                <w:rFonts w:ascii="Times New Roman" w:hAnsi="Times New Roman" w:eastAsia="Times New Roman"/>
                <w:sz w:val="18"/>
              </w:rPr>
              <w:t>1–7 agreement scale</w:t>
            </w:r>
          </w:p>
        </w:tc>
      </w:tr>
      <w:tr w14:paraId="18A7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8200F56">
            <w:pPr>
              <w:spacing w:after="0" w:line="240" w:lineRule="auto"/>
            </w:pPr>
            <w:r>
              <w:rPr>
                <w:rFonts w:ascii="Times New Roman" w:hAnsi="Times New Roman" w:eastAsia="Times New Roman"/>
                <w:sz w:val="18"/>
              </w:rPr>
              <w:t>E5</w:t>
            </w:r>
          </w:p>
        </w:tc>
        <w:tc>
          <w:tcPr>
            <w:tcW w:w="7848" w:type="dxa"/>
            <w:tcMar>
              <w:top w:w="80" w:type="dxa"/>
              <w:left w:w="80" w:type="dxa"/>
              <w:bottom w:w="80" w:type="dxa"/>
              <w:right w:w="80" w:type="dxa"/>
            </w:tcMar>
            <w:vAlign w:val="top"/>
          </w:tcPr>
          <w:p w14:paraId="49E8AD27">
            <w:pPr>
              <w:spacing w:after="0" w:line="240" w:lineRule="auto"/>
            </w:pPr>
            <w:r>
              <w:rPr>
                <w:rFonts w:ascii="Times New Roman" w:hAnsi="Times New Roman" w:eastAsia="Times New Roman"/>
                <w:sz w:val="18"/>
              </w:rPr>
              <w:t>Veterinary professionals explain withdrawal periods and record requirements clearly.</w:t>
            </w:r>
          </w:p>
        </w:tc>
        <w:tc>
          <w:tcPr>
            <w:tcW w:w="1584" w:type="dxa"/>
            <w:tcMar>
              <w:top w:w="80" w:type="dxa"/>
              <w:left w:w="80" w:type="dxa"/>
              <w:bottom w:w="80" w:type="dxa"/>
              <w:right w:w="80" w:type="dxa"/>
            </w:tcMar>
            <w:vAlign w:val="top"/>
          </w:tcPr>
          <w:p w14:paraId="6042B8BC">
            <w:pPr>
              <w:spacing w:after="0" w:line="240" w:lineRule="auto"/>
            </w:pPr>
            <w:r>
              <w:rPr>
                <w:rFonts w:ascii="Times New Roman" w:hAnsi="Times New Roman" w:eastAsia="Times New Roman"/>
                <w:sz w:val="18"/>
              </w:rPr>
              <w:t>1–7 agreement scale</w:t>
            </w:r>
          </w:p>
        </w:tc>
      </w:tr>
      <w:tr w14:paraId="210E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61FDEA9">
            <w:pPr>
              <w:spacing w:after="0" w:line="240" w:lineRule="auto"/>
            </w:pPr>
            <w:r>
              <w:rPr>
                <w:rFonts w:ascii="Times New Roman" w:hAnsi="Times New Roman" w:eastAsia="Times New Roman"/>
                <w:sz w:val="18"/>
              </w:rPr>
              <w:t>E6</w:t>
            </w:r>
          </w:p>
        </w:tc>
        <w:tc>
          <w:tcPr>
            <w:tcW w:w="7848" w:type="dxa"/>
            <w:tcMar>
              <w:top w:w="80" w:type="dxa"/>
              <w:left w:w="80" w:type="dxa"/>
              <w:bottom w:w="80" w:type="dxa"/>
              <w:right w:w="80" w:type="dxa"/>
            </w:tcMar>
            <w:vAlign w:val="top"/>
          </w:tcPr>
          <w:p w14:paraId="261E9677">
            <w:pPr>
              <w:spacing w:after="0" w:line="240" w:lineRule="auto"/>
            </w:pPr>
            <w:r>
              <w:rPr>
                <w:rFonts w:ascii="Times New Roman" w:hAnsi="Times New Roman" w:eastAsia="Times New Roman"/>
                <w:sz w:val="18"/>
              </w:rPr>
              <w:t>I trust qualified veterinary advice more than informal advice from peers or medicine sellers.</w:t>
            </w:r>
          </w:p>
        </w:tc>
        <w:tc>
          <w:tcPr>
            <w:tcW w:w="1584" w:type="dxa"/>
            <w:tcMar>
              <w:top w:w="80" w:type="dxa"/>
              <w:left w:w="80" w:type="dxa"/>
              <w:bottom w:w="80" w:type="dxa"/>
              <w:right w:w="80" w:type="dxa"/>
            </w:tcMar>
            <w:vAlign w:val="top"/>
          </w:tcPr>
          <w:p w14:paraId="123123AA">
            <w:pPr>
              <w:spacing w:after="0" w:line="240" w:lineRule="auto"/>
            </w:pPr>
            <w:r>
              <w:rPr>
                <w:rFonts w:ascii="Times New Roman" w:hAnsi="Times New Roman" w:eastAsia="Times New Roman"/>
                <w:sz w:val="18"/>
              </w:rPr>
              <w:t>1–7 agreement scale</w:t>
            </w:r>
          </w:p>
        </w:tc>
      </w:tr>
    </w:tbl>
    <w:p w14:paraId="72B5261F"/>
    <w:p w14:paraId="6F4978B1">
      <w:pPr>
        <w:pStyle w:val="3"/>
        <w:keepNext/>
        <w:spacing w:before="120" w:after="80"/>
      </w:pPr>
      <w:r>
        <w:rPr>
          <w:rFonts w:ascii="Times New Roman" w:hAnsi="Times New Roman" w:eastAsia="Times New Roman"/>
          <w:b/>
          <w:sz w:val="26"/>
        </w:rPr>
        <w:t>Section F. Administrative Burden: Learning Costs</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6319"/>
        <w:gridCol w:w="1421"/>
      </w:tblGrid>
      <w:tr w14:paraId="321E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1A2450EA">
            <w:pPr>
              <w:spacing w:after="0" w:line="240" w:lineRule="auto"/>
              <w:jc w:val="center"/>
            </w:pPr>
            <w:r>
              <w:rPr>
                <w:rFonts w:ascii="Times New Roman" w:hAnsi="Times New Roman" w:eastAsia="Times New Roman"/>
                <w:b/>
                <w:sz w:val="18"/>
              </w:rPr>
              <w:t>Item</w:t>
            </w:r>
          </w:p>
        </w:tc>
        <w:tc>
          <w:tcPr>
            <w:tcW w:w="7848" w:type="dxa"/>
            <w:shd w:val="clear" w:color="auto" w:fill="D9D9D9"/>
            <w:tcMar>
              <w:top w:w="80" w:type="dxa"/>
              <w:left w:w="80" w:type="dxa"/>
              <w:bottom w:w="80" w:type="dxa"/>
              <w:right w:w="80" w:type="dxa"/>
            </w:tcMar>
            <w:vAlign w:val="center"/>
          </w:tcPr>
          <w:p w14:paraId="3E34E690">
            <w:pPr>
              <w:spacing w:after="0" w:line="240" w:lineRule="auto"/>
              <w:jc w:val="center"/>
            </w:pPr>
            <w:r>
              <w:rPr>
                <w:rFonts w:ascii="Times New Roman" w:hAnsi="Times New Roman" w:eastAsia="Times New Roman"/>
                <w:b/>
                <w:sz w:val="18"/>
              </w:rPr>
              <w:t>Statement</w:t>
            </w:r>
          </w:p>
        </w:tc>
        <w:tc>
          <w:tcPr>
            <w:tcW w:w="1584" w:type="dxa"/>
            <w:shd w:val="clear" w:color="auto" w:fill="D9D9D9"/>
            <w:tcMar>
              <w:top w:w="80" w:type="dxa"/>
              <w:left w:w="80" w:type="dxa"/>
              <w:bottom w:w="80" w:type="dxa"/>
              <w:right w:w="80" w:type="dxa"/>
            </w:tcMar>
            <w:vAlign w:val="center"/>
          </w:tcPr>
          <w:p w14:paraId="49EE7468">
            <w:pPr>
              <w:spacing w:after="0" w:line="240" w:lineRule="auto"/>
              <w:jc w:val="center"/>
            </w:pPr>
            <w:r>
              <w:rPr>
                <w:rFonts w:ascii="Times New Roman" w:hAnsi="Times New Roman" w:eastAsia="Times New Roman"/>
                <w:b/>
                <w:sz w:val="18"/>
              </w:rPr>
              <w:t>Response</w:t>
            </w:r>
          </w:p>
        </w:tc>
      </w:tr>
      <w:tr w14:paraId="6540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3570DE08">
            <w:pPr>
              <w:spacing w:after="0" w:line="240" w:lineRule="auto"/>
            </w:pPr>
            <w:r>
              <w:rPr>
                <w:rFonts w:ascii="Times New Roman" w:hAnsi="Times New Roman" w:eastAsia="Times New Roman"/>
                <w:sz w:val="18"/>
              </w:rPr>
              <w:t>F1</w:t>
            </w:r>
          </w:p>
        </w:tc>
        <w:tc>
          <w:tcPr>
            <w:tcW w:w="7848" w:type="dxa"/>
            <w:tcMar>
              <w:top w:w="80" w:type="dxa"/>
              <w:left w:w="80" w:type="dxa"/>
              <w:bottom w:w="80" w:type="dxa"/>
              <w:right w:w="80" w:type="dxa"/>
            </w:tcMar>
            <w:vAlign w:val="top"/>
          </w:tcPr>
          <w:p w14:paraId="4F31CA5F">
            <w:pPr>
              <w:spacing w:after="0" w:line="240" w:lineRule="auto"/>
            </w:pPr>
            <w:r>
              <w:rPr>
                <w:rFonts w:ascii="Times New Roman" w:hAnsi="Times New Roman" w:eastAsia="Times New Roman"/>
                <w:sz w:val="18"/>
              </w:rPr>
              <w:t>It is difficult to understand current prohibited-drug lists.</w:t>
            </w:r>
          </w:p>
        </w:tc>
        <w:tc>
          <w:tcPr>
            <w:tcW w:w="1584" w:type="dxa"/>
            <w:tcMar>
              <w:top w:w="80" w:type="dxa"/>
              <w:left w:w="80" w:type="dxa"/>
              <w:bottom w:w="80" w:type="dxa"/>
              <w:right w:w="80" w:type="dxa"/>
            </w:tcMar>
            <w:vAlign w:val="top"/>
          </w:tcPr>
          <w:p w14:paraId="0D44FBFB">
            <w:pPr>
              <w:spacing w:after="0" w:line="240" w:lineRule="auto"/>
            </w:pPr>
            <w:r>
              <w:rPr>
                <w:rFonts w:ascii="Times New Roman" w:hAnsi="Times New Roman" w:eastAsia="Times New Roman"/>
                <w:sz w:val="18"/>
              </w:rPr>
              <w:t>1–7 agreement scale</w:t>
            </w:r>
          </w:p>
        </w:tc>
      </w:tr>
      <w:tr w14:paraId="0C70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386CA8B1">
            <w:pPr>
              <w:spacing w:after="0" w:line="240" w:lineRule="auto"/>
            </w:pPr>
            <w:r>
              <w:rPr>
                <w:rFonts w:ascii="Times New Roman" w:hAnsi="Times New Roman" w:eastAsia="Times New Roman"/>
                <w:sz w:val="18"/>
              </w:rPr>
              <w:t>F2</w:t>
            </w:r>
          </w:p>
        </w:tc>
        <w:tc>
          <w:tcPr>
            <w:tcW w:w="7848" w:type="dxa"/>
            <w:tcMar>
              <w:top w:w="80" w:type="dxa"/>
              <w:left w:w="80" w:type="dxa"/>
              <w:bottom w:w="80" w:type="dxa"/>
              <w:right w:w="80" w:type="dxa"/>
            </w:tcMar>
            <w:vAlign w:val="top"/>
          </w:tcPr>
          <w:p w14:paraId="0DC317ED">
            <w:pPr>
              <w:spacing w:after="0" w:line="240" w:lineRule="auto"/>
            </w:pPr>
            <w:r>
              <w:rPr>
                <w:rFonts w:ascii="Times New Roman" w:hAnsi="Times New Roman" w:eastAsia="Times New Roman"/>
                <w:sz w:val="18"/>
              </w:rPr>
              <w:t>Prescription requirements are difficult to interpret.</w:t>
            </w:r>
          </w:p>
        </w:tc>
        <w:tc>
          <w:tcPr>
            <w:tcW w:w="1584" w:type="dxa"/>
            <w:tcMar>
              <w:top w:w="80" w:type="dxa"/>
              <w:left w:w="80" w:type="dxa"/>
              <w:bottom w:w="80" w:type="dxa"/>
              <w:right w:w="80" w:type="dxa"/>
            </w:tcMar>
            <w:vAlign w:val="top"/>
          </w:tcPr>
          <w:p w14:paraId="7E900CD3">
            <w:pPr>
              <w:spacing w:after="0" w:line="240" w:lineRule="auto"/>
            </w:pPr>
            <w:r>
              <w:rPr>
                <w:rFonts w:ascii="Times New Roman" w:hAnsi="Times New Roman" w:eastAsia="Times New Roman"/>
                <w:sz w:val="18"/>
              </w:rPr>
              <w:t>1–7 agreement scale</w:t>
            </w:r>
          </w:p>
        </w:tc>
      </w:tr>
      <w:tr w14:paraId="5852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53AC7C8A">
            <w:pPr>
              <w:spacing w:after="0" w:line="240" w:lineRule="auto"/>
            </w:pPr>
            <w:r>
              <w:rPr>
                <w:rFonts w:ascii="Times New Roman" w:hAnsi="Times New Roman" w:eastAsia="Times New Roman"/>
                <w:sz w:val="18"/>
              </w:rPr>
              <w:t>F3</w:t>
            </w:r>
          </w:p>
        </w:tc>
        <w:tc>
          <w:tcPr>
            <w:tcW w:w="7848" w:type="dxa"/>
            <w:tcMar>
              <w:top w:w="80" w:type="dxa"/>
              <w:left w:w="80" w:type="dxa"/>
              <w:bottom w:w="80" w:type="dxa"/>
              <w:right w:w="80" w:type="dxa"/>
            </w:tcMar>
            <w:vAlign w:val="top"/>
          </w:tcPr>
          <w:p w14:paraId="0ACAA95C">
            <w:pPr>
              <w:spacing w:after="0" w:line="240" w:lineRule="auto"/>
            </w:pPr>
            <w:r>
              <w:rPr>
                <w:rFonts w:ascii="Times New Roman" w:hAnsi="Times New Roman" w:eastAsia="Times New Roman"/>
                <w:sz w:val="18"/>
              </w:rPr>
              <w:t>Withdrawal-period rules are difficult to understand.</w:t>
            </w:r>
          </w:p>
        </w:tc>
        <w:tc>
          <w:tcPr>
            <w:tcW w:w="1584" w:type="dxa"/>
            <w:tcMar>
              <w:top w:w="80" w:type="dxa"/>
              <w:left w:w="80" w:type="dxa"/>
              <w:bottom w:w="80" w:type="dxa"/>
              <w:right w:w="80" w:type="dxa"/>
            </w:tcMar>
            <w:vAlign w:val="top"/>
          </w:tcPr>
          <w:p w14:paraId="43F8C4E6">
            <w:pPr>
              <w:spacing w:after="0" w:line="240" w:lineRule="auto"/>
            </w:pPr>
            <w:r>
              <w:rPr>
                <w:rFonts w:ascii="Times New Roman" w:hAnsi="Times New Roman" w:eastAsia="Times New Roman"/>
                <w:sz w:val="18"/>
              </w:rPr>
              <w:t>1–7 agreement scale</w:t>
            </w:r>
          </w:p>
        </w:tc>
      </w:tr>
      <w:tr w14:paraId="5B80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31C1E975">
            <w:pPr>
              <w:spacing w:after="0" w:line="240" w:lineRule="auto"/>
            </w:pPr>
            <w:r>
              <w:rPr>
                <w:rFonts w:ascii="Times New Roman" w:hAnsi="Times New Roman" w:eastAsia="Times New Roman"/>
                <w:sz w:val="18"/>
              </w:rPr>
              <w:t>F4</w:t>
            </w:r>
          </w:p>
        </w:tc>
        <w:tc>
          <w:tcPr>
            <w:tcW w:w="7848" w:type="dxa"/>
            <w:tcMar>
              <w:top w:w="80" w:type="dxa"/>
              <w:left w:w="80" w:type="dxa"/>
              <w:bottom w:w="80" w:type="dxa"/>
              <w:right w:w="80" w:type="dxa"/>
            </w:tcMar>
            <w:vAlign w:val="top"/>
          </w:tcPr>
          <w:p w14:paraId="271F9F46">
            <w:pPr>
              <w:spacing w:after="0" w:line="240" w:lineRule="auto"/>
            </w:pPr>
            <w:r>
              <w:rPr>
                <w:rFonts w:ascii="Times New Roman" w:hAnsi="Times New Roman" w:eastAsia="Times New Roman"/>
                <w:sz w:val="18"/>
              </w:rPr>
              <w:t>Changes in antimicrobial-use rules are difficult to keep track of.</w:t>
            </w:r>
          </w:p>
        </w:tc>
        <w:tc>
          <w:tcPr>
            <w:tcW w:w="1584" w:type="dxa"/>
            <w:tcMar>
              <w:top w:w="80" w:type="dxa"/>
              <w:left w:w="80" w:type="dxa"/>
              <w:bottom w:w="80" w:type="dxa"/>
              <w:right w:w="80" w:type="dxa"/>
            </w:tcMar>
            <w:vAlign w:val="top"/>
          </w:tcPr>
          <w:p w14:paraId="7CA775AB">
            <w:pPr>
              <w:spacing w:after="0" w:line="240" w:lineRule="auto"/>
            </w:pPr>
            <w:r>
              <w:rPr>
                <w:rFonts w:ascii="Times New Roman" w:hAnsi="Times New Roman" w:eastAsia="Times New Roman"/>
                <w:sz w:val="18"/>
              </w:rPr>
              <w:t>1–7 agreement scale</w:t>
            </w:r>
          </w:p>
        </w:tc>
      </w:tr>
    </w:tbl>
    <w:p w14:paraId="0ADE1EB5"/>
    <w:p w14:paraId="7B01C5B3">
      <w:pPr>
        <w:pStyle w:val="3"/>
        <w:keepNext/>
        <w:spacing w:before="120" w:after="80"/>
      </w:pPr>
      <w:r>
        <w:rPr>
          <w:rFonts w:ascii="Times New Roman" w:hAnsi="Times New Roman" w:eastAsia="Times New Roman"/>
          <w:b/>
          <w:sz w:val="26"/>
        </w:rPr>
        <w:t>Section F. Administrative Burden: Compliance Costs</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6306"/>
        <w:gridCol w:w="1430"/>
      </w:tblGrid>
      <w:tr w14:paraId="0B32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3C34B72A">
            <w:pPr>
              <w:spacing w:after="0" w:line="240" w:lineRule="auto"/>
              <w:jc w:val="center"/>
            </w:pPr>
            <w:r>
              <w:rPr>
                <w:rFonts w:ascii="Times New Roman" w:hAnsi="Times New Roman" w:eastAsia="Times New Roman"/>
                <w:b/>
                <w:sz w:val="18"/>
              </w:rPr>
              <w:t>Item</w:t>
            </w:r>
          </w:p>
        </w:tc>
        <w:tc>
          <w:tcPr>
            <w:tcW w:w="7848" w:type="dxa"/>
            <w:shd w:val="clear" w:color="auto" w:fill="D9D9D9"/>
            <w:tcMar>
              <w:top w:w="80" w:type="dxa"/>
              <w:left w:w="80" w:type="dxa"/>
              <w:bottom w:w="80" w:type="dxa"/>
              <w:right w:w="80" w:type="dxa"/>
            </w:tcMar>
            <w:vAlign w:val="center"/>
          </w:tcPr>
          <w:p w14:paraId="7765AB7B">
            <w:pPr>
              <w:spacing w:after="0" w:line="240" w:lineRule="auto"/>
              <w:jc w:val="center"/>
            </w:pPr>
            <w:r>
              <w:rPr>
                <w:rFonts w:ascii="Times New Roman" w:hAnsi="Times New Roman" w:eastAsia="Times New Roman"/>
                <w:b/>
                <w:sz w:val="18"/>
              </w:rPr>
              <w:t>Statement</w:t>
            </w:r>
          </w:p>
        </w:tc>
        <w:tc>
          <w:tcPr>
            <w:tcW w:w="1584" w:type="dxa"/>
            <w:shd w:val="clear" w:color="auto" w:fill="D9D9D9"/>
            <w:tcMar>
              <w:top w:w="80" w:type="dxa"/>
              <w:left w:w="80" w:type="dxa"/>
              <w:bottom w:w="80" w:type="dxa"/>
              <w:right w:w="80" w:type="dxa"/>
            </w:tcMar>
            <w:vAlign w:val="center"/>
          </w:tcPr>
          <w:p w14:paraId="2C8ADDFA">
            <w:pPr>
              <w:spacing w:after="0" w:line="240" w:lineRule="auto"/>
              <w:jc w:val="center"/>
            </w:pPr>
            <w:r>
              <w:rPr>
                <w:rFonts w:ascii="Times New Roman" w:hAnsi="Times New Roman" w:eastAsia="Times New Roman"/>
                <w:b/>
                <w:sz w:val="18"/>
              </w:rPr>
              <w:t>Response</w:t>
            </w:r>
          </w:p>
        </w:tc>
      </w:tr>
      <w:tr w14:paraId="1128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D98D822">
            <w:pPr>
              <w:spacing w:after="0" w:line="240" w:lineRule="auto"/>
            </w:pPr>
            <w:r>
              <w:rPr>
                <w:rFonts w:ascii="Times New Roman" w:hAnsi="Times New Roman" w:eastAsia="Times New Roman"/>
                <w:sz w:val="18"/>
              </w:rPr>
              <w:t>F5</w:t>
            </w:r>
          </w:p>
        </w:tc>
        <w:tc>
          <w:tcPr>
            <w:tcW w:w="7848" w:type="dxa"/>
            <w:tcMar>
              <w:top w:w="80" w:type="dxa"/>
              <w:left w:w="80" w:type="dxa"/>
              <w:bottom w:w="80" w:type="dxa"/>
              <w:right w:w="80" w:type="dxa"/>
            </w:tcMar>
            <w:vAlign w:val="top"/>
          </w:tcPr>
          <w:p w14:paraId="5946EF46">
            <w:pPr>
              <w:spacing w:after="0" w:line="240" w:lineRule="auto"/>
            </w:pPr>
            <w:r>
              <w:rPr>
                <w:rFonts w:ascii="Times New Roman" w:hAnsi="Times New Roman" w:eastAsia="Times New Roman"/>
                <w:sz w:val="18"/>
              </w:rPr>
              <w:t>Obtaining qualified veterinary advice takes too much time.</w:t>
            </w:r>
          </w:p>
        </w:tc>
        <w:tc>
          <w:tcPr>
            <w:tcW w:w="1584" w:type="dxa"/>
            <w:tcMar>
              <w:top w:w="80" w:type="dxa"/>
              <w:left w:w="80" w:type="dxa"/>
              <w:bottom w:w="80" w:type="dxa"/>
              <w:right w:w="80" w:type="dxa"/>
            </w:tcMar>
            <w:vAlign w:val="top"/>
          </w:tcPr>
          <w:p w14:paraId="7DE8F1F8">
            <w:pPr>
              <w:spacing w:after="0" w:line="240" w:lineRule="auto"/>
            </w:pPr>
            <w:r>
              <w:rPr>
                <w:rFonts w:ascii="Times New Roman" w:hAnsi="Times New Roman" w:eastAsia="Times New Roman"/>
                <w:sz w:val="18"/>
              </w:rPr>
              <w:t>1–7 agreement scale</w:t>
            </w:r>
          </w:p>
        </w:tc>
      </w:tr>
      <w:tr w14:paraId="086B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44EAD9F9">
            <w:pPr>
              <w:spacing w:after="0" w:line="240" w:lineRule="auto"/>
            </w:pPr>
            <w:r>
              <w:rPr>
                <w:rFonts w:ascii="Times New Roman" w:hAnsi="Times New Roman" w:eastAsia="Times New Roman"/>
                <w:sz w:val="18"/>
              </w:rPr>
              <w:t>F6</w:t>
            </w:r>
          </w:p>
        </w:tc>
        <w:tc>
          <w:tcPr>
            <w:tcW w:w="7848" w:type="dxa"/>
            <w:tcMar>
              <w:top w:w="80" w:type="dxa"/>
              <w:left w:w="80" w:type="dxa"/>
              <w:bottom w:w="80" w:type="dxa"/>
              <w:right w:w="80" w:type="dxa"/>
            </w:tcMar>
            <w:vAlign w:val="top"/>
          </w:tcPr>
          <w:p w14:paraId="69D028F8">
            <w:pPr>
              <w:spacing w:after="0" w:line="240" w:lineRule="auto"/>
            </w:pPr>
            <w:r>
              <w:rPr>
                <w:rFonts w:ascii="Times New Roman" w:hAnsi="Times New Roman" w:eastAsia="Times New Roman"/>
                <w:sz w:val="18"/>
              </w:rPr>
              <w:t>Keeping complete medicine records requires substantial time and effort.</w:t>
            </w:r>
          </w:p>
        </w:tc>
        <w:tc>
          <w:tcPr>
            <w:tcW w:w="1584" w:type="dxa"/>
            <w:tcMar>
              <w:top w:w="80" w:type="dxa"/>
              <w:left w:w="80" w:type="dxa"/>
              <w:bottom w:w="80" w:type="dxa"/>
              <w:right w:w="80" w:type="dxa"/>
            </w:tcMar>
            <w:vAlign w:val="top"/>
          </w:tcPr>
          <w:p w14:paraId="527E2576">
            <w:pPr>
              <w:spacing w:after="0" w:line="240" w:lineRule="auto"/>
            </w:pPr>
            <w:r>
              <w:rPr>
                <w:rFonts w:ascii="Times New Roman" w:hAnsi="Times New Roman" w:eastAsia="Times New Roman"/>
                <w:sz w:val="18"/>
              </w:rPr>
              <w:t>1–7 agreement scale</w:t>
            </w:r>
          </w:p>
        </w:tc>
      </w:tr>
      <w:tr w14:paraId="78C3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444609D1">
            <w:pPr>
              <w:spacing w:after="0" w:line="240" w:lineRule="auto"/>
            </w:pPr>
            <w:r>
              <w:rPr>
                <w:rFonts w:ascii="Times New Roman" w:hAnsi="Times New Roman" w:eastAsia="Times New Roman"/>
                <w:sz w:val="18"/>
              </w:rPr>
              <w:t>F7</w:t>
            </w:r>
          </w:p>
        </w:tc>
        <w:tc>
          <w:tcPr>
            <w:tcW w:w="7848" w:type="dxa"/>
            <w:tcMar>
              <w:top w:w="80" w:type="dxa"/>
              <w:left w:w="80" w:type="dxa"/>
              <w:bottom w:w="80" w:type="dxa"/>
              <w:right w:w="80" w:type="dxa"/>
            </w:tcMar>
            <w:vAlign w:val="top"/>
          </w:tcPr>
          <w:p w14:paraId="7701C963">
            <w:pPr>
              <w:spacing w:after="0" w:line="240" w:lineRule="auto"/>
            </w:pPr>
            <w:r>
              <w:rPr>
                <w:rFonts w:ascii="Times New Roman" w:hAnsi="Times New Roman" w:eastAsia="Times New Roman"/>
                <w:sz w:val="18"/>
              </w:rPr>
              <w:t>Purchasing approved medicines and arranging required testing are financially burdensome.</w:t>
            </w:r>
          </w:p>
        </w:tc>
        <w:tc>
          <w:tcPr>
            <w:tcW w:w="1584" w:type="dxa"/>
            <w:tcMar>
              <w:top w:w="80" w:type="dxa"/>
              <w:left w:w="80" w:type="dxa"/>
              <w:bottom w:w="80" w:type="dxa"/>
              <w:right w:w="80" w:type="dxa"/>
            </w:tcMar>
            <w:vAlign w:val="top"/>
          </w:tcPr>
          <w:p w14:paraId="07B46DED">
            <w:pPr>
              <w:spacing w:after="0" w:line="240" w:lineRule="auto"/>
            </w:pPr>
            <w:r>
              <w:rPr>
                <w:rFonts w:ascii="Times New Roman" w:hAnsi="Times New Roman" w:eastAsia="Times New Roman"/>
                <w:sz w:val="18"/>
              </w:rPr>
              <w:t>1–7 agreement scale</w:t>
            </w:r>
          </w:p>
        </w:tc>
      </w:tr>
      <w:tr w14:paraId="0B62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7208A32">
            <w:pPr>
              <w:spacing w:after="0" w:line="240" w:lineRule="auto"/>
            </w:pPr>
            <w:r>
              <w:rPr>
                <w:rFonts w:ascii="Times New Roman" w:hAnsi="Times New Roman" w:eastAsia="Times New Roman"/>
                <w:sz w:val="18"/>
              </w:rPr>
              <w:t>F8</w:t>
            </w:r>
          </w:p>
        </w:tc>
        <w:tc>
          <w:tcPr>
            <w:tcW w:w="7848" w:type="dxa"/>
            <w:tcMar>
              <w:top w:w="80" w:type="dxa"/>
              <w:left w:w="80" w:type="dxa"/>
              <w:bottom w:w="80" w:type="dxa"/>
              <w:right w:w="80" w:type="dxa"/>
            </w:tcMar>
            <w:vAlign w:val="top"/>
          </w:tcPr>
          <w:p w14:paraId="75CBABBA">
            <w:pPr>
              <w:spacing w:after="0" w:line="240" w:lineRule="auto"/>
            </w:pPr>
            <w:r>
              <w:rPr>
                <w:rFonts w:ascii="Times New Roman" w:hAnsi="Times New Roman" w:eastAsia="Times New Roman"/>
                <w:sz w:val="18"/>
              </w:rPr>
              <w:t>Complying with withdrawal periods can create significant production or marketing costs.</w:t>
            </w:r>
          </w:p>
        </w:tc>
        <w:tc>
          <w:tcPr>
            <w:tcW w:w="1584" w:type="dxa"/>
            <w:tcMar>
              <w:top w:w="80" w:type="dxa"/>
              <w:left w:w="80" w:type="dxa"/>
              <w:bottom w:w="80" w:type="dxa"/>
              <w:right w:w="80" w:type="dxa"/>
            </w:tcMar>
            <w:vAlign w:val="top"/>
          </w:tcPr>
          <w:p w14:paraId="30FFADEF">
            <w:pPr>
              <w:spacing w:after="0" w:line="240" w:lineRule="auto"/>
            </w:pPr>
            <w:r>
              <w:rPr>
                <w:rFonts w:ascii="Times New Roman" w:hAnsi="Times New Roman" w:eastAsia="Times New Roman"/>
                <w:sz w:val="18"/>
              </w:rPr>
              <w:t>1–7 agreement scale</w:t>
            </w:r>
          </w:p>
        </w:tc>
      </w:tr>
    </w:tbl>
    <w:p w14:paraId="44DB7B74"/>
    <w:p w14:paraId="233BA592">
      <w:pPr>
        <w:pStyle w:val="3"/>
        <w:keepNext/>
        <w:spacing w:before="120" w:after="80"/>
      </w:pPr>
      <w:r>
        <w:rPr>
          <w:rFonts w:ascii="Times New Roman" w:hAnsi="Times New Roman" w:eastAsia="Times New Roman"/>
          <w:b/>
          <w:sz w:val="26"/>
        </w:rPr>
        <w:t>Section F. Administrative Burden: Psychological Costs</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6316"/>
        <w:gridCol w:w="1423"/>
      </w:tblGrid>
      <w:tr w14:paraId="224B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44099970">
            <w:pPr>
              <w:spacing w:after="0" w:line="240" w:lineRule="auto"/>
              <w:jc w:val="center"/>
            </w:pPr>
            <w:r>
              <w:rPr>
                <w:rFonts w:ascii="Times New Roman" w:hAnsi="Times New Roman" w:eastAsia="Times New Roman"/>
                <w:b/>
                <w:sz w:val="18"/>
              </w:rPr>
              <w:t>Item</w:t>
            </w:r>
          </w:p>
        </w:tc>
        <w:tc>
          <w:tcPr>
            <w:tcW w:w="7848" w:type="dxa"/>
            <w:shd w:val="clear" w:color="auto" w:fill="D9D9D9"/>
            <w:tcMar>
              <w:top w:w="80" w:type="dxa"/>
              <w:left w:w="80" w:type="dxa"/>
              <w:bottom w:w="80" w:type="dxa"/>
              <w:right w:w="80" w:type="dxa"/>
            </w:tcMar>
            <w:vAlign w:val="center"/>
          </w:tcPr>
          <w:p w14:paraId="710E7976">
            <w:pPr>
              <w:spacing w:after="0" w:line="240" w:lineRule="auto"/>
              <w:jc w:val="center"/>
            </w:pPr>
            <w:r>
              <w:rPr>
                <w:rFonts w:ascii="Times New Roman" w:hAnsi="Times New Roman" w:eastAsia="Times New Roman"/>
                <w:b/>
                <w:sz w:val="18"/>
              </w:rPr>
              <w:t>Statement</w:t>
            </w:r>
          </w:p>
        </w:tc>
        <w:tc>
          <w:tcPr>
            <w:tcW w:w="1584" w:type="dxa"/>
            <w:shd w:val="clear" w:color="auto" w:fill="D9D9D9"/>
            <w:tcMar>
              <w:top w:w="80" w:type="dxa"/>
              <w:left w:w="80" w:type="dxa"/>
              <w:bottom w:w="80" w:type="dxa"/>
              <w:right w:w="80" w:type="dxa"/>
            </w:tcMar>
            <w:vAlign w:val="center"/>
          </w:tcPr>
          <w:p w14:paraId="1EF379E3">
            <w:pPr>
              <w:spacing w:after="0" w:line="240" w:lineRule="auto"/>
              <w:jc w:val="center"/>
            </w:pPr>
            <w:r>
              <w:rPr>
                <w:rFonts w:ascii="Times New Roman" w:hAnsi="Times New Roman" w:eastAsia="Times New Roman"/>
                <w:b/>
                <w:sz w:val="18"/>
              </w:rPr>
              <w:t>Response</w:t>
            </w:r>
          </w:p>
        </w:tc>
      </w:tr>
      <w:tr w14:paraId="35C1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2626B77">
            <w:pPr>
              <w:spacing w:after="0" w:line="240" w:lineRule="auto"/>
            </w:pPr>
            <w:r>
              <w:rPr>
                <w:rFonts w:ascii="Times New Roman" w:hAnsi="Times New Roman" w:eastAsia="Times New Roman"/>
                <w:sz w:val="18"/>
              </w:rPr>
              <w:t>F9</w:t>
            </w:r>
          </w:p>
        </w:tc>
        <w:tc>
          <w:tcPr>
            <w:tcW w:w="7848" w:type="dxa"/>
            <w:tcMar>
              <w:top w:w="80" w:type="dxa"/>
              <w:left w:w="80" w:type="dxa"/>
              <w:bottom w:w="80" w:type="dxa"/>
              <w:right w:w="80" w:type="dxa"/>
            </w:tcMar>
            <w:vAlign w:val="top"/>
          </w:tcPr>
          <w:p w14:paraId="4861D88A">
            <w:pPr>
              <w:spacing w:after="0" w:line="240" w:lineRule="auto"/>
            </w:pPr>
            <w:r>
              <w:rPr>
                <w:rFonts w:ascii="Times New Roman" w:hAnsi="Times New Roman" w:eastAsia="Times New Roman"/>
                <w:sz w:val="18"/>
              </w:rPr>
              <w:t>I worry about unintentionally making mistakes when following antimicrobial-use rules.</w:t>
            </w:r>
          </w:p>
        </w:tc>
        <w:tc>
          <w:tcPr>
            <w:tcW w:w="1584" w:type="dxa"/>
            <w:tcMar>
              <w:top w:w="80" w:type="dxa"/>
              <w:left w:w="80" w:type="dxa"/>
              <w:bottom w:w="80" w:type="dxa"/>
              <w:right w:w="80" w:type="dxa"/>
            </w:tcMar>
            <w:vAlign w:val="top"/>
          </w:tcPr>
          <w:p w14:paraId="3B8BA668">
            <w:pPr>
              <w:spacing w:after="0" w:line="240" w:lineRule="auto"/>
            </w:pPr>
            <w:r>
              <w:rPr>
                <w:rFonts w:ascii="Times New Roman" w:hAnsi="Times New Roman" w:eastAsia="Times New Roman"/>
                <w:sz w:val="18"/>
              </w:rPr>
              <w:t>1–7 agreement scale</w:t>
            </w:r>
          </w:p>
        </w:tc>
      </w:tr>
      <w:tr w14:paraId="50F3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0FBFE38">
            <w:pPr>
              <w:spacing w:after="0" w:line="240" w:lineRule="auto"/>
            </w:pPr>
            <w:r>
              <w:rPr>
                <w:rFonts w:ascii="Times New Roman" w:hAnsi="Times New Roman" w:eastAsia="Times New Roman"/>
                <w:sz w:val="18"/>
              </w:rPr>
              <w:t>F10</w:t>
            </w:r>
          </w:p>
        </w:tc>
        <w:tc>
          <w:tcPr>
            <w:tcW w:w="7848" w:type="dxa"/>
            <w:tcMar>
              <w:top w:w="80" w:type="dxa"/>
              <w:left w:w="80" w:type="dxa"/>
              <w:bottom w:w="80" w:type="dxa"/>
              <w:right w:w="80" w:type="dxa"/>
            </w:tcMar>
            <w:vAlign w:val="top"/>
          </w:tcPr>
          <w:p w14:paraId="2E9C9380">
            <w:pPr>
              <w:spacing w:after="0" w:line="240" w:lineRule="auto"/>
            </w:pPr>
            <w:r>
              <w:rPr>
                <w:rFonts w:ascii="Times New Roman" w:hAnsi="Times New Roman" w:eastAsia="Times New Roman"/>
                <w:sz w:val="18"/>
              </w:rPr>
              <w:t>Inspections and paperwork related to antimicrobial use cause stress.</w:t>
            </w:r>
          </w:p>
        </w:tc>
        <w:tc>
          <w:tcPr>
            <w:tcW w:w="1584" w:type="dxa"/>
            <w:tcMar>
              <w:top w:w="80" w:type="dxa"/>
              <w:left w:w="80" w:type="dxa"/>
              <w:bottom w:w="80" w:type="dxa"/>
              <w:right w:w="80" w:type="dxa"/>
            </w:tcMar>
            <w:vAlign w:val="top"/>
          </w:tcPr>
          <w:p w14:paraId="5831805A">
            <w:pPr>
              <w:spacing w:after="0" w:line="240" w:lineRule="auto"/>
            </w:pPr>
            <w:r>
              <w:rPr>
                <w:rFonts w:ascii="Times New Roman" w:hAnsi="Times New Roman" w:eastAsia="Times New Roman"/>
                <w:sz w:val="18"/>
              </w:rPr>
              <w:t>1–7 agreement scale</w:t>
            </w:r>
          </w:p>
        </w:tc>
      </w:tr>
      <w:tr w14:paraId="4D7F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C63B7E5">
            <w:pPr>
              <w:spacing w:after="0" w:line="240" w:lineRule="auto"/>
            </w:pPr>
            <w:r>
              <w:rPr>
                <w:rFonts w:ascii="Times New Roman" w:hAnsi="Times New Roman" w:eastAsia="Times New Roman"/>
                <w:sz w:val="18"/>
              </w:rPr>
              <w:t>F11</w:t>
            </w:r>
          </w:p>
        </w:tc>
        <w:tc>
          <w:tcPr>
            <w:tcW w:w="7848" w:type="dxa"/>
            <w:tcMar>
              <w:top w:w="80" w:type="dxa"/>
              <w:left w:w="80" w:type="dxa"/>
              <w:bottom w:w="80" w:type="dxa"/>
              <w:right w:w="80" w:type="dxa"/>
            </w:tcMar>
            <w:vAlign w:val="top"/>
          </w:tcPr>
          <w:p w14:paraId="61DCED2C">
            <w:pPr>
              <w:spacing w:after="0" w:line="240" w:lineRule="auto"/>
            </w:pPr>
            <w:r>
              <w:rPr>
                <w:rFonts w:ascii="Times New Roman" w:hAnsi="Times New Roman" w:eastAsia="Times New Roman"/>
                <w:sz w:val="18"/>
              </w:rPr>
              <w:t>Regulatory encounters sometimes make producers feel disrespected or unfairly suspected.</w:t>
            </w:r>
          </w:p>
        </w:tc>
        <w:tc>
          <w:tcPr>
            <w:tcW w:w="1584" w:type="dxa"/>
            <w:tcMar>
              <w:top w:w="80" w:type="dxa"/>
              <w:left w:w="80" w:type="dxa"/>
              <w:bottom w:w="80" w:type="dxa"/>
              <w:right w:w="80" w:type="dxa"/>
            </w:tcMar>
            <w:vAlign w:val="top"/>
          </w:tcPr>
          <w:p w14:paraId="41A7A5C2">
            <w:pPr>
              <w:spacing w:after="0" w:line="240" w:lineRule="auto"/>
            </w:pPr>
            <w:r>
              <w:rPr>
                <w:rFonts w:ascii="Times New Roman" w:hAnsi="Times New Roman" w:eastAsia="Times New Roman"/>
                <w:sz w:val="18"/>
              </w:rPr>
              <w:t>1–7 agreement scale</w:t>
            </w:r>
          </w:p>
        </w:tc>
      </w:tr>
      <w:tr w14:paraId="6385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921F040">
            <w:pPr>
              <w:spacing w:after="0" w:line="240" w:lineRule="auto"/>
            </w:pPr>
            <w:r>
              <w:rPr>
                <w:rFonts w:ascii="Times New Roman" w:hAnsi="Times New Roman" w:eastAsia="Times New Roman"/>
                <w:sz w:val="18"/>
              </w:rPr>
              <w:t>F12</w:t>
            </w:r>
          </w:p>
        </w:tc>
        <w:tc>
          <w:tcPr>
            <w:tcW w:w="7848" w:type="dxa"/>
            <w:tcMar>
              <w:top w:w="80" w:type="dxa"/>
              <w:left w:w="80" w:type="dxa"/>
              <w:bottom w:w="80" w:type="dxa"/>
              <w:right w:w="80" w:type="dxa"/>
            </w:tcMar>
            <w:vAlign w:val="top"/>
          </w:tcPr>
          <w:p w14:paraId="6DEB0B26">
            <w:pPr>
              <w:spacing w:after="0" w:line="240" w:lineRule="auto"/>
            </w:pPr>
            <w:r>
              <w:rPr>
                <w:rFonts w:ascii="Times New Roman" w:hAnsi="Times New Roman" w:eastAsia="Times New Roman"/>
                <w:sz w:val="18"/>
              </w:rPr>
              <w:t>The fear of penalties makes antimicrobial-use decisions psychologically difficult.</w:t>
            </w:r>
          </w:p>
        </w:tc>
        <w:tc>
          <w:tcPr>
            <w:tcW w:w="1584" w:type="dxa"/>
            <w:tcMar>
              <w:top w:w="80" w:type="dxa"/>
              <w:left w:w="80" w:type="dxa"/>
              <w:bottom w:w="80" w:type="dxa"/>
              <w:right w:w="80" w:type="dxa"/>
            </w:tcMar>
            <w:vAlign w:val="top"/>
          </w:tcPr>
          <w:p w14:paraId="07337E62">
            <w:pPr>
              <w:spacing w:after="0" w:line="240" w:lineRule="auto"/>
            </w:pPr>
            <w:r>
              <w:rPr>
                <w:rFonts w:ascii="Times New Roman" w:hAnsi="Times New Roman" w:eastAsia="Times New Roman"/>
                <w:sz w:val="18"/>
              </w:rPr>
              <w:t>1–7 agreement scale</w:t>
            </w:r>
          </w:p>
        </w:tc>
      </w:tr>
    </w:tbl>
    <w:p w14:paraId="34EE7530"/>
    <w:p w14:paraId="00B52620">
      <w:pPr>
        <w:pStyle w:val="3"/>
        <w:keepNext/>
        <w:spacing w:before="120" w:after="80"/>
      </w:pPr>
      <w:r>
        <w:rPr>
          <w:rFonts w:ascii="Times New Roman" w:hAnsi="Times New Roman" w:eastAsia="Times New Roman"/>
          <w:b/>
          <w:sz w:val="26"/>
        </w:rPr>
        <w:t>Section G. Antimicrobial-Use Compliance</w:t>
      </w:r>
    </w:p>
    <w:p w14:paraId="3A84BE9C">
      <w:pPr>
        <w:keepNext w:val="0"/>
        <w:spacing w:after="80" w:line="259" w:lineRule="auto"/>
        <w:rPr>
          <w:rFonts w:ascii="Times New Roman" w:hAnsi="Times New Roman" w:eastAsia="Times New Roman"/>
          <w:sz w:val="22"/>
        </w:rPr>
      </w:pPr>
      <w:r>
        <w:rPr>
          <w:rFonts w:hint="eastAsia" w:ascii="Times New Roman" w:hAnsi="Times New Roman" w:eastAsia="Times New Roman"/>
          <w:sz w:val="22"/>
        </w:rPr>
        <w:t>Response scale for Section G: 1 = Never; 2 = Very rarely; 3 = Rarely; 4 = Sometimes; 5 = Often; 6 = Very often; and 7 = Always.</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6204"/>
        <w:gridCol w:w="1533"/>
      </w:tblGrid>
      <w:tr w14:paraId="3113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53D15D45">
            <w:pPr>
              <w:spacing w:after="0" w:line="240" w:lineRule="auto"/>
              <w:jc w:val="center"/>
            </w:pPr>
            <w:r>
              <w:rPr>
                <w:rFonts w:ascii="Times New Roman" w:hAnsi="Times New Roman" w:eastAsia="Times New Roman"/>
                <w:b/>
                <w:sz w:val="18"/>
              </w:rPr>
              <w:t>Item</w:t>
            </w:r>
          </w:p>
        </w:tc>
        <w:tc>
          <w:tcPr>
            <w:tcW w:w="7704" w:type="dxa"/>
            <w:shd w:val="clear" w:color="auto" w:fill="D9D9D9"/>
            <w:tcMar>
              <w:top w:w="80" w:type="dxa"/>
              <w:left w:w="80" w:type="dxa"/>
              <w:bottom w:w="80" w:type="dxa"/>
              <w:right w:w="80" w:type="dxa"/>
            </w:tcMar>
            <w:vAlign w:val="center"/>
          </w:tcPr>
          <w:p w14:paraId="184D7C67">
            <w:pPr>
              <w:spacing w:after="0" w:line="240" w:lineRule="auto"/>
              <w:jc w:val="center"/>
            </w:pPr>
            <w:r>
              <w:rPr>
                <w:rFonts w:ascii="Times New Roman" w:hAnsi="Times New Roman" w:eastAsia="Times New Roman"/>
                <w:b/>
                <w:sz w:val="18"/>
              </w:rPr>
              <w:t>Behavior</w:t>
            </w:r>
          </w:p>
        </w:tc>
        <w:tc>
          <w:tcPr>
            <w:tcW w:w="1728" w:type="dxa"/>
            <w:shd w:val="clear" w:color="auto" w:fill="D9D9D9"/>
            <w:tcMar>
              <w:top w:w="80" w:type="dxa"/>
              <w:left w:w="80" w:type="dxa"/>
              <w:bottom w:w="80" w:type="dxa"/>
              <w:right w:w="80" w:type="dxa"/>
            </w:tcMar>
            <w:vAlign w:val="center"/>
          </w:tcPr>
          <w:p w14:paraId="5249DC74">
            <w:pPr>
              <w:spacing w:after="0" w:line="240" w:lineRule="auto"/>
              <w:jc w:val="center"/>
            </w:pPr>
            <w:r>
              <w:rPr>
                <w:rFonts w:ascii="Times New Roman" w:hAnsi="Times New Roman" w:eastAsia="Times New Roman"/>
                <w:b/>
                <w:sz w:val="18"/>
              </w:rPr>
              <w:t>Response</w:t>
            </w:r>
          </w:p>
        </w:tc>
      </w:tr>
      <w:tr w14:paraId="1225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2A33A8ED">
            <w:pPr>
              <w:spacing w:after="0" w:line="240" w:lineRule="auto"/>
            </w:pPr>
            <w:r>
              <w:rPr>
                <w:rFonts w:ascii="Times New Roman" w:hAnsi="Times New Roman" w:eastAsia="Times New Roman"/>
                <w:sz w:val="18"/>
              </w:rPr>
              <w:t>G1</w:t>
            </w:r>
          </w:p>
        </w:tc>
        <w:tc>
          <w:tcPr>
            <w:tcW w:w="7704" w:type="dxa"/>
            <w:tcMar>
              <w:top w:w="80" w:type="dxa"/>
              <w:left w:w="80" w:type="dxa"/>
              <w:bottom w:w="80" w:type="dxa"/>
              <w:right w:w="80" w:type="dxa"/>
            </w:tcMar>
            <w:vAlign w:val="top"/>
          </w:tcPr>
          <w:p w14:paraId="19BF835E">
            <w:pPr>
              <w:spacing w:after="0" w:line="240" w:lineRule="auto"/>
            </w:pPr>
            <w:r>
              <w:rPr>
                <w:rFonts w:ascii="Times New Roman" w:hAnsi="Times New Roman" w:eastAsia="Times New Roman"/>
                <w:sz w:val="18"/>
              </w:rPr>
              <w:t>Before using an antimicrobial, I consult a qualified veterinarian or veterinary technician when professional advice is required.</w:t>
            </w:r>
          </w:p>
        </w:tc>
        <w:tc>
          <w:tcPr>
            <w:tcW w:w="1728" w:type="dxa"/>
            <w:tcMar>
              <w:top w:w="80" w:type="dxa"/>
              <w:left w:w="80" w:type="dxa"/>
              <w:bottom w:w="80" w:type="dxa"/>
              <w:right w:w="80" w:type="dxa"/>
            </w:tcMar>
            <w:vAlign w:val="top"/>
          </w:tcPr>
          <w:p w14:paraId="2B2D2B91">
            <w:pPr>
              <w:spacing w:after="0" w:line="240" w:lineRule="auto"/>
            </w:pPr>
            <w:r>
              <w:rPr>
                <w:rFonts w:ascii="Times New Roman" w:hAnsi="Times New Roman" w:eastAsia="Times New Roman"/>
                <w:sz w:val="18"/>
              </w:rPr>
              <w:t>1–7 frequency scale</w:t>
            </w:r>
          </w:p>
        </w:tc>
      </w:tr>
      <w:tr w14:paraId="4698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4BAC2942">
            <w:pPr>
              <w:spacing w:after="0" w:line="240" w:lineRule="auto"/>
            </w:pPr>
            <w:r>
              <w:rPr>
                <w:rFonts w:ascii="Times New Roman" w:hAnsi="Times New Roman" w:eastAsia="Times New Roman"/>
                <w:sz w:val="18"/>
              </w:rPr>
              <w:t>G2</w:t>
            </w:r>
          </w:p>
        </w:tc>
        <w:tc>
          <w:tcPr>
            <w:tcW w:w="7704" w:type="dxa"/>
            <w:tcMar>
              <w:top w:w="80" w:type="dxa"/>
              <w:left w:w="80" w:type="dxa"/>
              <w:bottom w:w="80" w:type="dxa"/>
              <w:right w:w="80" w:type="dxa"/>
            </w:tcMar>
            <w:vAlign w:val="top"/>
          </w:tcPr>
          <w:p w14:paraId="484187EA">
            <w:pPr>
              <w:spacing w:after="0" w:line="240" w:lineRule="auto"/>
            </w:pPr>
            <w:r>
              <w:rPr>
                <w:rFonts w:ascii="Times New Roman" w:hAnsi="Times New Roman" w:eastAsia="Times New Roman"/>
                <w:sz w:val="18"/>
              </w:rPr>
              <w:t>I purchase veterinary antimicrobials through licensed or legally permitted channels.</w:t>
            </w:r>
          </w:p>
        </w:tc>
        <w:tc>
          <w:tcPr>
            <w:tcW w:w="1728" w:type="dxa"/>
            <w:tcMar>
              <w:top w:w="80" w:type="dxa"/>
              <w:left w:w="80" w:type="dxa"/>
              <w:bottom w:w="80" w:type="dxa"/>
              <w:right w:w="80" w:type="dxa"/>
            </w:tcMar>
            <w:vAlign w:val="top"/>
          </w:tcPr>
          <w:p w14:paraId="0A7C8875">
            <w:pPr>
              <w:spacing w:after="0" w:line="240" w:lineRule="auto"/>
            </w:pPr>
            <w:r>
              <w:rPr>
                <w:rFonts w:ascii="Times New Roman" w:hAnsi="Times New Roman" w:eastAsia="Times New Roman"/>
                <w:sz w:val="18"/>
              </w:rPr>
              <w:t>1–7 frequency scale</w:t>
            </w:r>
          </w:p>
        </w:tc>
      </w:tr>
      <w:tr w14:paraId="764D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2DEBB83B">
            <w:pPr>
              <w:spacing w:after="0" w:line="240" w:lineRule="auto"/>
            </w:pPr>
            <w:r>
              <w:rPr>
                <w:rFonts w:ascii="Times New Roman" w:hAnsi="Times New Roman" w:eastAsia="Times New Roman"/>
                <w:sz w:val="18"/>
              </w:rPr>
              <w:t>G3</w:t>
            </w:r>
          </w:p>
        </w:tc>
        <w:tc>
          <w:tcPr>
            <w:tcW w:w="7704" w:type="dxa"/>
            <w:tcMar>
              <w:top w:w="80" w:type="dxa"/>
              <w:left w:w="80" w:type="dxa"/>
              <w:bottom w:w="80" w:type="dxa"/>
              <w:right w:w="80" w:type="dxa"/>
            </w:tcMar>
            <w:vAlign w:val="top"/>
          </w:tcPr>
          <w:p w14:paraId="4DE9DA84">
            <w:pPr>
              <w:spacing w:after="0" w:line="240" w:lineRule="auto"/>
            </w:pPr>
            <w:r>
              <w:rPr>
                <w:rFonts w:ascii="Times New Roman" w:hAnsi="Times New Roman" w:eastAsia="Times New Roman"/>
                <w:sz w:val="18"/>
              </w:rPr>
              <w:t>I follow the recommended dosage and treatment duration.</w:t>
            </w:r>
          </w:p>
        </w:tc>
        <w:tc>
          <w:tcPr>
            <w:tcW w:w="1728" w:type="dxa"/>
            <w:tcMar>
              <w:top w:w="80" w:type="dxa"/>
              <w:left w:w="80" w:type="dxa"/>
              <w:bottom w:w="80" w:type="dxa"/>
              <w:right w:w="80" w:type="dxa"/>
            </w:tcMar>
            <w:vAlign w:val="top"/>
          </w:tcPr>
          <w:p w14:paraId="19AE4897">
            <w:pPr>
              <w:spacing w:after="0" w:line="240" w:lineRule="auto"/>
            </w:pPr>
            <w:r>
              <w:rPr>
                <w:rFonts w:ascii="Times New Roman" w:hAnsi="Times New Roman" w:eastAsia="Times New Roman"/>
                <w:sz w:val="18"/>
              </w:rPr>
              <w:t>1–7 frequency scale</w:t>
            </w:r>
          </w:p>
        </w:tc>
      </w:tr>
      <w:tr w14:paraId="3EAD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15F0527D">
            <w:pPr>
              <w:spacing w:after="0" w:line="240" w:lineRule="auto"/>
            </w:pPr>
            <w:r>
              <w:rPr>
                <w:rFonts w:ascii="Times New Roman" w:hAnsi="Times New Roman" w:eastAsia="Times New Roman"/>
                <w:sz w:val="18"/>
              </w:rPr>
              <w:t>G4</w:t>
            </w:r>
          </w:p>
        </w:tc>
        <w:tc>
          <w:tcPr>
            <w:tcW w:w="7704" w:type="dxa"/>
            <w:tcMar>
              <w:top w:w="80" w:type="dxa"/>
              <w:left w:w="80" w:type="dxa"/>
              <w:bottom w:w="80" w:type="dxa"/>
              <w:right w:w="80" w:type="dxa"/>
            </w:tcMar>
            <w:vAlign w:val="top"/>
          </w:tcPr>
          <w:p w14:paraId="72981ED3">
            <w:pPr>
              <w:spacing w:after="0" w:line="240" w:lineRule="auto"/>
            </w:pPr>
            <w:r>
              <w:rPr>
                <w:rFonts w:ascii="Times New Roman" w:hAnsi="Times New Roman" w:eastAsia="Times New Roman"/>
                <w:sz w:val="18"/>
              </w:rPr>
              <w:t>I avoid medicines that are prohibited for the relevant species or production purpose.</w:t>
            </w:r>
          </w:p>
        </w:tc>
        <w:tc>
          <w:tcPr>
            <w:tcW w:w="1728" w:type="dxa"/>
            <w:tcMar>
              <w:top w:w="80" w:type="dxa"/>
              <w:left w:w="80" w:type="dxa"/>
              <w:bottom w:w="80" w:type="dxa"/>
              <w:right w:w="80" w:type="dxa"/>
            </w:tcMar>
            <w:vAlign w:val="top"/>
          </w:tcPr>
          <w:p w14:paraId="7649B8C1">
            <w:pPr>
              <w:spacing w:after="0" w:line="240" w:lineRule="auto"/>
            </w:pPr>
            <w:r>
              <w:rPr>
                <w:rFonts w:ascii="Times New Roman" w:hAnsi="Times New Roman" w:eastAsia="Times New Roman"/>
                <w:sz w:val="18"/>
              </w:rPr>
              <w:t>1–7 frequency scale</w:t>
            </w:r>
          </w:p>
        </w:tc>
      </w:tr>
      <w:tr w14:paraId="66B0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7B3A385">
            <w:pPr>
              <w:spacing w:after="0" w:line="240" w:lineRule="auto"/>
            </w:pPr>
            <w:r>
              <w:rPr>
                <w:rFonts w:ascii="Times New Roman" w:hAnsi="Times New Roman" w:eastAsia="Times New Roman"/>
                <w:sz w:val="18"/>
              </w:rPr>
              <w:t>G5</w:t>
            </w:r>
          </w:p>
        </w:tc>
        <w:tc>
          <w:tcPr>
            <w:tcW w:w="7704" w:type="dxa"/>
            <w:tcMar>
              <w:top w:w="80" w:type="dxa"/>
              <w:left w:w="80" w:type="dxa"/>
              <w:bottom w:w="80" w:type="dxa"/>
              <w:right w:w="80" w:type="dxa"/>
            </w:tcMar>
            <w:vAlign w:val="top"/>
          </w:tcPr>
          <w:p w14:paraId="70CD1C6D">
            <w:pPr>
              <w:spacing w:after="0" w:line="240" w:lineRule="auto"/>
            </w:pPr>
            <w:r>
              <w:rPr>
                <w:rFonts w:ascii="Times New Roman" w:hAnsi="Times New Roman" w:eastAsia="Times New Roman"/>
                <w:sz w:val="18"/>
              </w:rPr>
              <w:t>I maintain complete records of antimicrobial purchases and use.</w:t>
            </w:r>
          </w:p>
        </w:tc>
        <w:tc>
          <w:tcPr>
            <w:tcW w:w="1728" w:type="dxa"/>
            <w:tcMar>
              <w:top w:w="80" w:type="dxa"/>
              <w:left w:w="80" w:type="dxa"/>
              <w:bottom w:w="80" w:type="dxa"/>
              <w:right w:w="80" w:type="dxa"/>
            </w:tcMar>
            <w:vAlign w:val="top"/>
          </w:tcPr>
          <w:p w14:paraId="1681F31A">
            <w:pPr>
              <w:spacing w:after="0" w:line="240" w:lineRule="auto"/>
            </w:pPr>
            <w:r>
              <w:rPr>
                <w:rFonts w:ascii="Times New Roman" w:hAnsi="Times New Roman" w:eastAsia="Times New Roman"/>
                <w:sz w:val="18"/>
              </w:rPr>
              <w:t>1–7 frequency scale</w:t>
            </w:r>
          </w:p>
        </w:tc>
      </w:tr>
      <w:tr w14:paraId="21D9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11EA77B">
            <w:pPr>
              <w:spacing w:after="0" w:line="240" w:lineRule="auto"/>
            </w:pPr>
            <w:r>
              <w:rPr>
                <w:rFonts w:ascii="Times New Roman" w:hAnsi="Times New Roman" w:eastAsia="Times New Roman"/>
                <w:sz w:val="18"/>
              </w:rPr>
              <w:t>G6</w:t>
            </w:r>
          </w:p>
        </w:tc>
        <w:tc>
          <w:tcPr>
            <w:tcW w:w="7704" w:type="dxa"/>
            <w:tcMar>
              <w:top w:w="80" w:type="dxa"/>
              <w:left w:w="80" w:type="dxa"/>
              <w:bottom w:w="80" w:type="dxa"/>
              <w:right w:w="80" w:type="dxa"/>
            </w:tcMar>
            <w:vAlign w:val="top"/>
          </w:tcPr>
          <w:p w14:paraId="7EC800EA">
            <w:pPr>
              <w:spacing w:after="0" w:line="240" w:lineRule="auto"/>
            </w:pPr>
            <w:r>
              <w:rPr>
                <w:rFonts w:ascii="Times New Roman" w:hAnsi="Times New Roman" w:eastAsia="Times New Roman"/>
                <w:sz w:val="18"/>
              </w:rPr>
              <w:t>I observe the required withdrawal period before animals or animal products enter the food chain.</w:t>
            </w:r>
          </w:p>
        </w:tc>
        <w:tc>
          <w:tcPr>
            <w:tcW w:w="1728" w:type="dxa"/>
            <w:tcMar>
              <w:top w:w="80" w:type="dxa"/>
              <w:left w:w="80" w:type="dxa"/>
              <w:bottom w:w="80" w:type="dxa"/>
              <w:right w:w="80" w:type="dxa"/>
            </w:tcMar>
            <w:vAlign w:val="top"/>
          </w:tcPr>
          <w:p w14:paraId="71A36B25">
            <w:pPr>
              <w:spacing w:after="0" w:line="240" w:lineRule="auto"/>
            </w:pPr>
            <w:r>
              <w:rPr>
                <w:rFonts w:ascii="Times New Roman" w:hAnsi="Times New Roman" w:eastAsia="Times New Roman"/>
                <w:sz w:val="18"/>
              </w:rPr>
              <w:t>1–7 frequency scale</w:t>
            </w:r>
          </w:p>
        </w:tc>
      </w:tr>
      <w:tr w14:paraId="015C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67D3FB7">
            <w:pPr>
              <w:spacing w:after="0" w:line="240" w:lineRule="auto"/>
            </w:pPr>
            <w:r>
              <w:rPr>
                <w:rFonts w:ascii="Times New Roman" w:hAnsi="Times New Roman" w:eastAsia="Times New Roman"/>
                <w:sz w:val="18"/>
              </w:rPr>
              <w:t>G7</w:t>
            </w:r>
          </w:p>
        </w:tc>
        <w:tc>
          <w:tcPr>
            <w:tcW w:w="7704" w:type="dxa"/>
            <w:tcMar>
              <w:top w:w="80" w:type="dxa"/>
              <w:left w:w="80" w:type="dxa"/>
              <w:bottom w:w="80" w:type="dxa"/>
              <w:right w:w="80" w:type="dxa"/>
            </w:tcMar>
            <w:vAlign w:val="top"/>
          </w:tcPr>
          <w:p w14:paraId="4B36BC85">
            <w:pPr>
              <w:spacing w:after="0" w:line="240" w:lineRule="auto"/>
            </w:pPr>
            <w:r>
              <w:rPr>
                <w:rFonts w:ascii="Times New Roman" w:hAnsi="Times New Roman" w:eastAsia="Times New Roman"/>
                <w:sz w:val="18"/>
              </w:rPr>
              <w:t>I cooperate with residue testing, inspection, certification, or buyer verification requirements.</w:t>
            </w:r>
          </w:p>
        </w:tc>
        <w:tc>
          <w:tcPr>
            <w:tcW w:w="1728" w:type="dxa"/>
            <w:tcMar>
              <w:top w:w="80" w:type="dxa"/>
              <w:left w:w="80" w:type="dxa"/>
              <w:bottom w:w="80" w:type="dxa"/>
              <w:right w:w="80" w:type="dxa"/>
            </w:tcMar>
            <w:vAlign w:val="top"/>
          </w:tcPr>
          <w:p w14:paraId="2BB7E9E3">
            <w:pPr>
              <w:spacing w:after="0" w:line="240" w:lineRule="auto"/>
            </w:pPr>
            <w:r>
              <w:rPr>
                <w:rFonts w:ascii="Times New Roman" w:hAnsi="Times New Roman" w:eastAsia="Times New Roman"/>
                <w:sz w:val="18"/>
              </w:rPr>
              <w:t>1–7 frequency scale</w:t>
            </w:r>
          </w:p>
        </w:tc>
      </w:tr>
    </w:tbl>
    <w:p w14:paraId="00AD90EE"/>
    <w:p w14:paraId="5F5467B3">
      <w:pPr>
        <w:pStyle w:val="3"/>
        <w:keepNext/>
        <w:spacing w:before="120" w:after="80"/>
      </w:pPr>
      <w:r>
        <w:rPr>
          <w:rFonts w:ascii="Times New Roman" w:hAnsi="Times New Roman" w:eastAsia="Times New Roman"/>
          <w:b/>
          <w:sz w:val="26"/>
        </w:rPr>
        <w:t xml:space="preserve">Section </w:t>
      </w:r>
      <w:r>
        <w:rPr>
          <w:rFonts w:hint="eastAsia" w:ascii="Times New Roman" w:hAnsi="Times New Roman" w:eastAsia="宋体"/>
          <w:b/>
          <w:sz w:val="26"/>
          <w:lang w:val="en-US" w:eastAsia="zh-CN"/>
        </w:rPr>
        <w:t>H</w:t>
      </w:r>
      <w:r>
        <w:rPr>
          <w:rFonts w:ascii="Times New Roman" w:hAnsi="Times New Roman" w:eastAsia="Times New Roman"/>
          <w:b/>
          <w:sz w:val="26"/>
        </w:rPr>
        <w:t>. Randomized 2 × 2 × 2 Vignette Experiment</w:t>
      </w:r>
    </w:p>
    <w:p w14:paraId="1DC6CB48">
      <w:pPr>
        <w:keepNext w:val="0"/>
        <w:spacing w:after="80" w:line="259" w:lineRule="auto"/>
        <w:rPr>
          <w:rFonts w:hint="eastAsia" w:ascii="Times New Roman" w:hAnsi="Times New Roman" w:eastAsia="Times New Roman"/>
          <w:sz w:val="22"/>
        </w:rPr>
      </w:pPr>
      <w:r>
        <w:rPr>
          <w:rFonts w:hint="eastAsia" w:ascii="Times New Roman" w:hAnsi="Times New Roman" w:eastAsia="Times New Roman"/>
          <w:sz w:val="22"/>
        </w:rPr>
        <w:t>Participants were randomly assigned to one of the eight scenarios. The experimental factors were: (1) generic AMR risk information versus One Health responsibility framing; (2) punitive-only regulation versus support-oriented regulation; and (3) no additional veterinary support versus access to qualified veterinary support.</w:t>
      </w:r>
    </w:p>
    <w:p w14:paraId="1574FF71">
      <w:pPr>
        <w:keepNext w:val="0"/>
        <w:spacing w:after="80" w:line="259" w:lineRule="auto"/>
      </w:pPr>
      <w:r>
        <w:rPr>
          <w:rFonts w:ascii="Times New Roman" w:hAnsi="Times New Roman" w:eastAsia="Times New Roman"/>
          <w:sz w:val="22"/>
        </w:rPr>
        <w:t>Common scenario introduction: “Imagine that a group of animals on your farm develops signs of a bacterial infection shortly before a planned sale. You are considering whether and how to use an antimicrobial medicine. Please read the information below and answer the questions that follow.”</w:t>
      </w:r>
    </w:p>
    <w:p w14:paraId="2F5F7F0D">
      <w:pPr>
        <w:pStyle w:val="4"/>
        <w:keepNext/>
        <w:spacing w:before="120" w:after="80"/>
      </w:pPr>
      <w:r>
        <w:rPr>
          <w:rFonts w:ascii="Times New Roman" w:hAnsi="Times New Roman" w:eastAsia="Times New Roman"/>
          <w:b/>
          <w:sz w:val="23"/>
        </w:rPr>
        <w:t>V1. Generic AMR risk × Punitive-only regulation × No additional veterinary support</w:t>
      </w:r>
    </w:p>
    <w:p w14:paraId="2F77144F">
      <w:pPr>
        <w:keepNext w:val="0"/>
        <w:spacing w:after="80" w:line="259" w:lineRule="auto"/>
      </w:pPr>
      <w:r>
        <w:rPr>
          <w:rFonts w:ascii="Times New Roman" w:hAnsi="Times New Roman" w:eastAsia="Times New Roman"/>
          <w:sz w:val="22"/>
        </w:rPr>
        <w:t>Antimicrobial resistance occurs when bacteria become less responsive to medicines. Inappropriate antimicrobial use can make infections more difficult to treat and can lead to food-safety, animal-health, and market risks. The local authority will conduct inspections and residue testing. Producers who fail to follow prescription, record-keeping, or withdrawal-period requirements may be subject to penalties. No additional guidance or administrative assistance is described. No additional veterinary consultation channel is available. You must rely on the services and information normally available to you.</w:t>
      </w:r>
    </w:p>
    <w:p w14:paraId="540DA3ED">
      <w:pPr>
        <w:pStyle w:val="4"/>
        <w:keepNext/>
        <w:spacing w:before="120" w:after="80"/>
      </w:pPr>
      <w:r>
        <w:rPr>
          <w:rFonts w:ascii="Times New Roman" w:hAnsi="Times New Roman" w:eastAsia="Times New Roman"/>
          <w:b/>
          <w:sz w:val="23"/>
        </w:rPr>
        <w:t>V2. Generic AMR risk × Punitive-only regulation × Veterinary support</w:t>
      </w:r>
    </w:p>
    <w:p w14:paraId="78FBE2F6">
      <w:pPr>
        <w:keepNext w:val="0"/>
        <w:spacing w:after="80" w:line="259" w:lineRule="auto"/>
      </w:pPr>
      <w:r>
        <w:rPr>
          <w:rFonts w:ascii="Times New Roman" w:hAnsi="Times New Roman" w:eastAsia="Times New Roman"/>
          <w:sz w:val="22"/>
        </w:rPr>
        <w:t>Antimicrobial resistance occurs when bacteria become less responsive to medicines. Inappropriate antimicrobial use can make infections more difficult to treat and can lead to food-safety, animal-health, and market risks. The local authority will conduct inspections and residue testing. Producers who fail to follow prescription, record-keeping, or withdrawal-period requirements may be subject to penalties. No additional guidance or administrative assistance is described. A qualified veterinarian is available through a rapid consultation channel to advise on diagnosis, medicine choice, dosage, treatment duration, record keeping, and withdrawal periods.</w:t>
      </w:r>
    </w:p>
    <w:p w14:paraId="7D94A9E3">
      <w:pPr>
        <w:pStyle w:val="4"/>
        <w:keepNext/>
        <w:spacing w:before="120" w:after="80"/>
      </w:pPr>
      <w:r>
        <w:rPr>
          <w:rFonts w:ascii="Times New Roman" w:hAnsi="Times New Roman" w:eastAsia="Times New Roman"/>
          <w:b/>
          <w:sz w:val="23"/>
        </w:rPr>
        <w:t>V3. Generic AMR risk × Support-oriented regulation × No additional veterinary support</w:t>
      </w:r>
    </w:p>
    <w:p w14:paraId="4BAD1A83">
      <w:pPr>
        <w:keepNext w:val="0"/>
        <w:spacing w:after="80" w:line="259" w:lineRule="auto"/>
      </w:pPr>
      <w:r>
        <w:rPr>
          <w:rFonts w:ascii="Times New Roman" w:hAnsi="Times New Roman" w:eastAsia="Times New Roman"/>
          <w:sz w:val="22"/>
        </w:rPr>
        <w:t>Antimicrobial resistance occurs when bacteria become less responsive to medicines. Inappropriate antimicrobial use can make infections more difficult to treat and can lead to food-safety, animal-health, and market risks. The local authority will enforce prescription, record-keeping, and withdrawal-period requirements, and will also provide clear written guidance, a simplified record template, and a contact channel for compliance questions. No additional veterinary consultation channel is available. You must rely on the services and information normally available to you.</w:t>
      </w:r>
    </w:p>
    <w:p w14:paraId="379231CB">
      <w:pPr>
        <w:pStyle w:val="4"/>
        <w:keepNext/>
        <w:spacing w:before="120" w:after="80"/>
      </w:pPr>
      <w:r>
        <w:rPr>
          <w:rFonts w:ascii="Times New Roman" w:hAnsi="Times New Roman" w:eastAsia="Times New Roman"/>
          <w:b/>
          <w:sz w:val="23"/>
        </w:rPr>
        <w:t>V4. Generic AMR risk × Support-oriented regulation × Veterinary support</w:t>
      </w:r>
    </w:p>
    <w:p w14:paraId="3A3EDB95">
      <w:pPr>
        <w:keepNext w:val="0"/>
        <w:spacing w:after="80" w:line="259" w:lineRule="auto"/>
      </w:pPr>
      <w:r>
        <w:rPr>
          <w:rFonts w:ascii="Times New Roman" w:hAnsi="Times New Roman" w:eastAsia="Times New Roman"/>
          <w:sz w:val="22"/>
        </w:rPr>
        <w:t>Antimicrobial resistance occurs when bacteria become less responsive to medicines. Inappropriate antimicrobial use can make infections more difficult to treat and can lead to food-safety, animal-health, and market risks. The local authority will enforce prescription, record-keeping, and withdrawal-period requirements, and will also provide clear written guidance, a simplified record template, and a contact channel for compliance questions. A qualified veterinarian is available through a rapid consultation channel to advise on diagnosis, medicine choice, dosage, treatment duration, record keeping, and withdrawal periods.</w:t>
      </w:r>
    </w:p>
    <w:p w14:paraId="44FF9199">
      <w:pPr>
        <w:pStyle w:val="4"/>
        <w:keepNext/>
        <w:spacing w:before="120" w:after="80"/>
      </w:pPr>
      <w:r>
        <w:rPr>
          <w:rFonts w:ascii="Times New Roman" w:hAnsi="Times New Roman" w:eastAsia="Times New Roman"/>
          <w:b/>
          <w:sz w:val="23"/>
        </w:rPr>
        <w:t>V5. One Health responsibility × Punitive-only regulation × No additional veterinary support</w:t>
      </w:r>
    </w:p>
    <w:p w14:paraId="36132DD5">
      <w:pPr>
        <w:keepNext w:val="0"/>
        <w:spacing w:after="80" w:line="259" w:lineRule="auto"/>
      </w:pPr>
      <w:r>
        <w:rPr>
          <w:rFonts w:ascii="Times New Roman" w:hAnsi="Times New Roman" w:eastAsia="Times New Roman"/>
          <w:sz w:val="22"/>
        </w:rPr>
        <w:t>Antimicrobial decisions on a farm can affect animals, consumers, farm workers, downstream buyers, communities, and the environment. As a food-animal producer, prudent antimicrobial use is part of protecting these interconnected One Health interests. The local authority will conduct inspections and residue testing. Producers who fail to follow prescription, record-keeping, or withdrawal-period requirements may be subject to penalties. No additional guidance or administrative assistance is described. No additional veterinary consultation channel is available. You must rely on the services and information normally available to you.</w:t>
      </w:r>
    </w:p>
    <w:p w14:paraId="0755130C">
      <w:pPr>
        <w:pStyle w:val="4"/>
        <w:keepNext/>
        <w:spacing w:before="120" w:after="80"/>
      </w:pPr>
      <w:r>
        <w:rPr>
          <w:rFonts w:ascii="Times New Roman" w:hAnsi="Times New Roman" w:eastAsia="Times New Roman"/>
          <w:b/>
          <w:sz w:val="23"/>
        </w:rPr>
        <w:t>V6. One Health responsibility × Punitive-only regulation × Veterinary support</w:t>
      </w:r>
    </w:p>
    <w:p w14:paraId="6A79821E">
      <w:pPr>
        <w:keepNext w:val="0"/>
        <w:spacing w:after="80" w:line="259" w:lineRule="auto"/>
      </w:pPr>
      <w:r>
        <w:rPr>
          <w:rFonts w:ascii="Times New Roman" w:hAnsi="Times New Roman" w:eastAsia="Times New Roman"/>
          <w:sz w:val="22"/>
        </w:rPr>
        <w:t>Antimicrobial decisions on a farm can affect animals, consumers, farm workers, downstream buyers, communities, and the environment. As a food-animal producer, prudent antimicrobial use is part of protecting these interconnected One Health interests. The local authority will conduct inspections and residue testing. Producers who fail to follow prescription, record-keeping, or withdrawal-period requirements may be subject to penalties. No additional guidance or administrative assistance is described. A qualified veterinarian is available through a rapid consultation channel to advise on diagnosis, medicine choice, dosage, treatment duration, record keeping, and withdrawal periods.</w:t>
      </w:r>
    </w:p>
    <w:p w14:paraId="00A7CB2A">
      <w:pPr>
        <w:pStyle w:val="4"/>
        <w:keepNext/>
        <w:spacing w:before="120" w:after="80"/>
      </w:pPr>
      <w:r>
        <w:rPr>
          <w:rFonts w:ascii="Times New Roman" w:hAnsi="Times New Roman" w:eastAsia="Times New Roman"/>
          <w:b/>
          <w:sz w:val="23"/>
        </w:rPr>
        <w:t>V7. One Health responsibility × Support-oriented regulation × No additional veterinary support</w:t>
      </w:r>
    </w:p>
    <w:p w14:paraId="030C18D2">
      <w:pPr>
        <w:keepNext w:val="0"/>
        <w:spacing w:after="80" w:line="259" w:lineRule="auto"/>
      </w:pPr>
      <w:r>
        <w:rPr>
          <w:rFonts w:ascii="Times New Roman" w:hAnsi="Times New Roman" w:eastAsia="Times New Roman"/>
          <w:sz w:val="22"/>
        </w:rPr>
        <w:t>Antimicrobial decisions on a farm can affect animals, consumers, farm workers, downstream buyers, communities, and the environment. As a food-animal producer, prudent antimicrobial use is part of protecting these interconnected One Health interests. The local authority will enforce prescription, record-keeping, and withdrawal-period requirements, and will also provide clear written guidance, a simplified record template, and a contact channel for compliance questions. No additional veterinary consultation channel is available. You must rely on the services and information normally available to you.</w:t>
      </w:r>
    </w:p>
    <w:p w14:paraId="02776F48">
      <w:pPr>
        <w:pStyle w:val="4"/>
        <w:keepNext/>
        <w:spacing w:before="120" w:after="80"/>
      </w:pPr>
      <w:r>
        <w:rPr>
          <w:rFonts w:ascii="Times New Roman" w:hAnsi="Times New Roman" w:eastAsia="Times New Roman"/>
          <w:b/>
          <w:sz w:val="23"/>
        </w:rPr>
        <w:t>V8. One Health responsibility × Support-oriented regulation × Veterinary support</w:t>
      </w:r>
    </w:p>
    <w:p w14:paraId="279C8101">
      <w:pPr>
        <w:keepNext w:val="0"/>
        <w:spacing w:after="80" w:line="259" w:lineRule="auto"/>
      </w:pPr>
      <w:r>
        <w:rPr>
          <w:rFonts w:ascii="Times New Roman" w:hAnsi="Times New Roman" w:eastAsia="Times New Roman"/>
          <w:sz w:val="22"/>
        </w:rPr>
        <w:t>Antimicrobial decisions on a farm can affect animals, consumers, farm workers, downstream buyers, communities, and the environment. As a food-animal producer, prudent antimicrobial use is part of protecting these interconnected One Health interests. The local authority will enforce prescription, record-keeping, and withdrawal-period requirements, and will also provide clear written guidance, a simplified record template, and a contact channel for compliance questions. A qualified veterinarian is available through a rapid consultation channel to advise on diagnosis, medicine choice, dosage, treatment duration, record keeping, and withdrawal periods.</w:t>
      </w:r>
    </w:p>
    <w:p w14:paraId="11ADB1BB">
      <w:pPr>
        <w:pStyle w:val="3"/>
        <w:keepNext/>
        <w:spacing w:before="120" w:after="80"/>
      </w:pPr>
      <w:r>
        <w:rPr>
          <w:rFonts w:ascii="Times New Roman" w:hAnsi="Times New Roman" w:eastAsia="Times New Roman"/>
          <w:b/>
          <w:sz w:val="26"/>
        </w:rPr>
        <w:t xml:space="preserve">Section </w:t>
      </w:r>
      <w:r>
        <w:rPr>
          <w:rFonts w:hint="eastAsia" w:ascii="Times New Roman" w:hAnsi="Times New Roman" w:eastAsia="宋体"/>
          <w:b/>
          <w:sz w:val="26"/>
          <w:lang w:val="en-US" w:eastAsia="zh-CN"/>
        </w:rPr>
        <w:t>I</w:t>
      </w:r>
      <w:r>
        <w:rPr>
          <w:rFonts w:ascii="Times New Roman" w:hAnsi="Times New Roman" w:eastAsia="Times New Roman"/>
          <w:b/>
          <w:sz w:val="26"/>
        </w:rPr>
        <w:t>. Vignette Outcome Measures</w:t>
      </w:r>
    </w:p>
    <w:p w14:paraId="27246D52">
      <w:pPr>
        <w:keepNext w:val="0"/>
        <w:spacing w:after="80" w:line="259" w:lineRule="auto"/>
      </w:pPr>
      <w:r>
        <w:rPr>
          <w:rFonts w:ascii="Times New Roman" w:hAnsi="Times New Roman" w:eastAsia="Times New Roman"/>
          <w:sz w:val="22"/>
        </w:rPr>
        <w:t>Response scale: 1 = Very unlikely/Strongly disagree; 7 = Very likely/Strongly agree, as appropriate.</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6431"/>
        <w:gridCol w:w="1308"/>
      </w:tblGrid>
      <w:tr w14:paraId="5E74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026654F1">
            <w:pPr>
              <w:spacing w:after="0" w:line="240" w:lineRule="auto"/>
              <w:jc w:val="center"/>
            </w:pPr>
            <w:r>
              <w:rPr>
                <w:rFonts w:ascii="Times New Roman" w:hAnsi="Times New Roman" w:eastAsia="Times New Roman"/>
                <w:b/>
                <w:sz w:val="18"/>
              </w:rPr>
              <w:t>Item</w:t>
            </w:r>
          </w:p>
        </w:tc>
        <w:tc>
          <w:tcPr>
            <w:tcW w:w="7992" w:type="dxa"/>
            <w:shd w:val="clear" w:color="auto" w:fill="D9D9D9"/>
            <w:tcMar>
              <w:top w:w="80" w:type="dxa"/>
              <w:left w:w="80" w:type="dxa"/>
              <w:bottom w:w="80" w:type="dxa"/>
              <w:right w:w="80" w:type="dxa"/>
            </w:tcMar>
            <w:vAlign w:val="center"/>
          </w:tcPr>
          <w:p w14:paraId="30B39DA4">
            <w:pPr>
              <w:spacing w:after="0" w:line="240" w:lineRule="auto"/>
              <w:jc w:val="center"/>
            </w:pPr>
            <w:r>
              <w:rPr>
                <w:rFonts w:ascii="Times New Roman" w:hAnsi="Times New Roman" w:eastAsia="Times New Roman"/>
                <w:b/>
                <w:sz w:val="18"/>
              </w:rPr>
              <w:t>Outcome statement</w:t>
            </w:r>
          </w:p>
        </w:tc>
        <w:tc>
          <w:tcPr>
            <w:tcW w:w="1440" w:type="dxa"/>
            <w:shd w:val="clear" w:color="auto" w:fill="D9D9D9"/>
            <w:tcMar>
              <w:top w:w="80" w:type="dxa"/>
              <w:left w:w="80" w:type="dxa"/>
              <w:bottom w:w="80" w:type="dxa"/>
              <w:right w:w="80" w:type="dxa"/>
            </w:tcMar>
            <w:vAlign w:val="center"/>
          </w:tcPr>
          <w:p w14:paraId="1BD86AF5">
            <w:pPr>
              <w:spacing w:after="0" w:line="240" w:lineRule="auto"/>
              <w:jc w:val="center"/>
            </w:pPr>
            <w:r>
              <w:rPr>
                <w:rFonts w:ascii="Times New Roman" w:hAnsi="Times New Roman" w:eastAsia="Times New Roman"/>
                <w:b/>
                <w:sz w:val="18"/>
              </w:rPr>
              <w:t>Response</w:t>
            </w:r>
          </w:p>
        </w:tc>
      </w:tr>
      <w:tr w14:paraId="5A05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D7E520A">
            <w:pPr>
              <w:spacing w:after="0" w:line="240" w:lineRule="auto"/>
            </w:pPr>
            <w:r>
              <w:rPr>
                <w:rFonts w:ascii="Times New Roman" w:hAnsi="Times New Roman" w:eastAsia="Times New Roman"/>
                <w:sz w:val="18"/>
              </w:rPr>
              <w:t>J1</w:t>
            </w:r>
          </w:p>
        </w:tc>
        <w:tc>
          <w:tcPr>
            <w:tcW w:w="7992" w:type="dxa"/>
            <w:tcMar>
              <w:top w:w="80" w:type="dxa"/>
              <w:left w:w="80" w:type="dxa"/>
              <w:bottom w:w="80" w:type="dxa"/>
              <w:right w:w="80" w:type="dxa"/>
            </w:tcMar>
            <w:vAlign w:val="top"/>
          </w:tcPr>
          <w:p w14:paraId="50600AB9">
            <w:pPr>
              <w:spacing w:after="0" w:line="240" w:lineRule="auto"/>
            </w:pPr>
            <w:r>
              <w:rPr>
                <w:rFonts w:ascii="Times New Roman" w:hAnsi="Times New Roman" w:eastAsia="Times New Roman"/>
                <w:sz w:val="18"/>
              </w:rPr>
              <w:t>I would follow all applicable antimicrobial-use requirements in this situation.</w:t>
            </w:r>
          </w:p>
        </w:tc>
        <w:tc>
          <w:tcPr>
            <w:tcW w:w="1440" w:type="dxa"/>
            <w:tcMar>
              <w:top w:w="80" w:type="dxa"/>
              <w:left w:w="80" w:type="dxa"/>
              <w:bottom w:w="80" w:type="dxa"/>
              <w:right w:w="80" w:type="dxa"/>
            </w:tcMar>
            <w:vAlign w:val="top"/>
          </w:tcPr>
          <w:p w14:paraId="15E264C8">
            <w:pPr>
              <w:spacing w:after="0" w:line="240" w:lineRule="auto"/>
            </w:pPr>
            <w:r>
              <w:rPr>
                <w:rFonts w:ascii="Times New Roman" w:hAnsi="Times New Roman" w:eastAsia="Times New Roman"/>
                <w:sz w:val="18"/>
              </w:rPr>
              <w:t>1–7</w:t>
            </w:r>
          </w:p>
        </w:tc>
      </w:tr>
      <w:tr w14:paraId="2B96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384B231">
            <w:pPr>
              <w:spacing w:after="0" w:line="240" w:lineRule="auto"/>
            </w:pPr>
            <w:r>
              <w:rPr>
                <w:rFonts w:ascii="Times New Roman" w:hAnsi="Times New Roman" w:eastAsia="Times New Roman"/>
                <w:sz w:val="18"/>
              </w:rPr>
              <w:t>J2</w:t>
            </w:r>
          </w:p>
        </w:tc>
        <w:tc>
          <w:tcPr>
            <w:tcW w:w="7992" w:type="dxa"/>
            <w:tcMar>
              <w:top w:w="80" w:type="dxa"/>
              <w:left w:w="80" w:type="dxa"/>
              <w:bottom w:w="80" w:type="dxa"/>
              <w:right w:w="80" w:type="dxa"/>
            </w:tcMar>
            <w:vAlign w:val="top"/>
          </w:tcPr>
          <w:p w14:paraId="4FC18BD7">
            <w:pPr>
              <w:spacing w:after="0" w:line="240" w:lineRule="auto"/>
            </w:pPr>
            <w:r>
              <w:rPr>
                <w:rFonts w:ascii="Times New Roman" w:hAnsi="Times New Roman" w:eastAsia="Times New Roman"/>
                <w:sz w:val="18"/>
              </w:rPr>
              <w:t>I would consult a qualified veterinarian before deciding which antimicrobial to use.</w:t>
            </w:r>
          </w:p>
        </w:tc>
        <w:tc>
          <w:tcPr>
            <w:tcW w:w="1440" w:type="dxa"/>
            <w:tcMar>
              <w:top w:w="80" w:type="dxa"/>
              <w:left w:w="80" w:type="dxa"/>
              <w:bottom w:w="80" w:type="dxa"/>
              <w:right w:w="80" w:type="dxa"/>
            </w:tcMar>
            <w:vAlign w:val="top"/>
          </w:tcPr>
          <w:p w14:paraId="058154BF">
            <w:pPr>
              <w:spacing w:after="0" w:line="240" w:lineRule="auto"/>
            </w:pPr>
            <w:r>
              <w:rPr>
                <w:rFonts w:ascii="Times New Roman" w:hAnsi="Times New Roman" w:eastAsia="Times New Roman"/>
                <w:sz w:val="18"/>
              </w:rPr>
              <w:t>1–7</w:t>
            </w:r>
          </w:p>
        </w:tc>
      </w:tr>
      <w:tr w14:paraId="5403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9C4003C">
            <w:pPr>
              <w:spacing w:after="0" w:line="240" w:lineRule="auto"/>
            </w:pPr>
            <w:r>
              <w:rPr>
                <w:rFonts w:ascii="Times New Roman" w:hAnsi="Times New Roman" w:eastAsia="Times New Roman"/>
                <w:sz w:val="18"/>
              </w:rPr>
              <w:t>J3</w:t>
            </w:r>
          </w:p>
        </w:tc>
        <w:tc>
          <w:tcPr>
            <w:tcW w:w="7992" w:type="dxa"/>
            <w:tcMar>
              <w:top w:w="80" w:type="dxa"/>
              <w:left w:w="80" w:type="dxa"/>
              <w:bottom w:w="80" w:type="dxa"/>
              <w:right w:w="80" w:type="dxa"/>
            </w:tcMar>
            <w:vAlign w:val="top"/>
          </w:tcPr>
          <w:p w14:paraId="2BC83F48">
            <w:pPr>
              <w:spacing w:after="0" w:line="240" w:lineRule="auto"/>
            </w:pPr>
            <w:r>
              <w:rPr>
                <w:rFonts w:ascii="Times New Roman" w:hAnsi="Times New Roman" w:eastAsia="Times New Roman"/>
                <w:sz w:val="18"/>
              </w:rPr>
              <w:t>I would complete the required medicine records.</w:t>
            </w:r>
          </w:p>
        </w:tc>
        <w:tc>
          <w:tcPr>
            <w:tcW w:w="1440" w:type="dxa"/>
            <w:tcMar>
              <w:top w:w="80" w:type="dxa"/>
              <w:left w:w="80" w:type="dxa"/>
              <w:bottom w:w="80" w:type="dxa"/>
              <w:right w:w="80" w:type="dxa"/>
            </w:tcMar>
            <w:vAlign w:val="top"/>
          </w:tcPr>
          <w:p w14:paraId="0EB24FBA">
            <w:pPr>
              <w:spacing w:after="0" w:line="240" w:lineRule="auto"/>
            </w:pPr>
            <w:r>
              <w:rPr>
                <w:rFonts w:ascii="Times New Roman" w:hAnsi="Times New Roman" w:eastAsia="Times New Roman"/>
                <w:sz w:val="18"/>
              </w:rPr>
              <w:t>1–7</w:t>
            </w:r>
          </w:p>
        </w:tc>
      </w:tr>
      <w:tr w14:paraId="6A8E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22806B2A">
            <w:pPr>
              <w:spacing w:after="0" w:line="240" w:lineRule="auto"/>
            </w:pPr>
            <w:r>
              <w:rPr>
                <w:rFonts w:ascii="Times New Roman" w:hAnsi="Times New Roman" w:eastAsia="Times New Roman"/>
                <w:sz w:val="18"/>
              </w:rPr>
              <w:t>J4</w:t>
            </w:r>
          </w:p>
        </w:tc>
        <w:tc>
          <w:tcPr>
            <w:tcW w:w="7992" w:type="dxa"/>
            <w:tcMar>
              <w:top w:w="80" w:type="dxa"/>
              <w:left w:w="80" w:type="dxa"/>
              <w:bottom w:w="80" w:type="dxa"/>
              <w:right w:w="80" w:type="dxa"/>
            </w:tcMar>
            <w:vAlign w:val="top"/>
          </w:tcPr>
          <w:p w14:paraId="26BC2D60">
            <w:pPr>
              <w:spacing w:after="0" w:line="240" w:lineRule="auto"/>
            </w:pPr>
            <w:r>
              <w:rPr>
                <w:rFonts w:ascii="Times New Roman" w:hAnsi="Times New Roman" w:eastAsia="Times New Roman"/>
                <w:sz w:val="18"/>
              </w:rPr>
              <w:t>I would observe the required withdrawal period even if this delayed sale.</w:t>
            </w:r>
          </w:p>
        </w:tc>
        <w:tc>
          <w:tcPr>
            <w:tcW w:w="1440" w:type="dxa"/>
            <w:tcMar>
              <w:top w:w="80" w:type="dxa"/>
              <w:left w:w="80" w:type="dxa"/>
              <w:bottom w:w="80" w:type="dxa"/>
              <w:right w:w="80" w:type="dxa"/>
            </w:tcMar>
            <w:vAlign w:val="top"/>
          </w:tcPr>
          <w:p w14:paraId="0D2FCD4B">
            <w:pPr>
              <w:spacing w:after="0" w:line="240" w:lineRule="auto"/>
            </w:pPr>
            <w:r>
              <w:rPr>
                <w:rFonts w:ascii="Times New Roman" w:hAnsi="Times New Roman" w:eastAsia="Times New Roman"/>
                <w:sz w:val="18"/>
              </w:rPr>
              <w:t>1–7</w:t>
            </w:r>
          </w:p>
        </w:tc>
      </w:tr>
      <w:tr w14:paraId="0505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4119A58">
            <w:pPr>
              <w:spacing w:after="0" w:line="240" w:lineRule="auto"/>
            </w:pPr>
            <w:r>
              <w:rPr>
                <w:rFonts w:ascii="Times New Roman" w:hAnsi="Times New Roman" w:eastAsia="Times New Roman"/>
                <w:sz w:val="18"/>
              </w:rPr>
              <w:t>J5</w:t>
            </w:r>
          </w:p>
        </w:tc>
        <w:tc>
          <w:tcPr>
            <w:tcW w:w="7992" w:type="dxa"/>
            <w:tcMar>
              <w:top w:w="80" w:type="dxa"/>
              <w:left w:w="80" w:type="dxa"/>
              <w:bottom w:w="80" w:type="dxa"/>
              <w:right w:w="80" w:type="dxa"/>
            </w:tcMar>
            <w:vAlign w:val="top"/>
          </w:tcPr>
          <w:p w14:paraId="27DB07FC">
            <w:pPr>
              <w:spacing w:after="0" w:line="240" w:lineRule="auto"/>
            </w:pPr>
            <w:r>
              <w:rPr>
                <w:rFonts w:ascii="Times New Roman" w:hAnsi="Times New Roman" w:eastAsia="Times New Roman"/>
                <w:sz w:val="18"/>
              </w:rPr>
              <w:t>The regulatory requirements described in the scenario are legitimate.</w:t>
            </w:r>
          </w:p>
        </w:tc>
        <w:tc>
          <w:tcPr>
            <w:tcW w:w="1440" w:type="dxa"/>
            <w:tcMar>
              <w:top w:w="80" w:type="dxa"/>
              <w:left w:w="80" w:type="dxa"/>
              <w:bottom w:w="80" w:type="dxa"/>
              <w:right w:w="80" w:type="dxa"/>
            </w:tcMar>
            <w:vAlign w:val="top"/>
          </w:tcPr>
          <w:p w14:paraId="50C1F82F">
            <w:pPr>
              <w:spacing w:after="0" w:line="240" w:lineRule="auto"/>
            </w:pPr>
            <w:r>
              <w:rPr>
                <w:rFonts w:ascii="Times New Roman" w:hAnsi="Times New Roman" w:eastAsia="Times New Roman"/>
                <w:sz w:val="18"/>
              </w:rPr>
              <w:t>1–7</w:t>
            </w:r>
          </w:p>
        </w:tc>
      </w:tr>
      <w:tr w14:paraId="7647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760406C8">
            <w:pPr>
              <w:spacing w:after="0" w:line="240" w:lineRule="auto"/>
            </w:pPr>
            <w:r>
              <w:rPr>
                <w:rFonts w:ascii="Times New Roman" w:hAnsi="Times New Roman" w:eastAsia="Times New Roman"/>
                <w:sz w:val="18"/>
              </w:rPr>
              <w:t>J6</w:t>
            </w:r>
          </w:p>
        </w:tc>
        <w:tc>
          <w:tcPr>
            <w:tcW w:w="7992" w:type="dxa"/>
            <w:tcMar>
              <w:top w:w="80" w:type="dxa"/>
              <w:left w:w="80" w:type="dxa"/>
              <w:bottom w:w="80" w:type="dxa"/>
              <w:right w:w="80" w:type="dxa"/>
            </w:tcMar>
            <w:vAlign w:val="top"/>
          </w:tcPr>
          <w:p w14:paraId="5760BE5A">
            <w:pPr>
              <w:spacing w:after="0" w:line="240" w:lineRule="auto"/>
            </w:pPr>
            <w:r>
              <w:rPr>
                <w:rFonts w:ascii="Times New Roman" w:hAnsi="Times New Roman" w:eastAsia="Times New Roman"/>
                <w:sz w:val="18"/>
              </w:rPr>
              <w:t>It would be feasible for me to comply with the requirements described.</w:t>
            </w:r>
          </w:p>
        </w:tc>
        <w:tc>
          <w:tcPr>
            <w:tcW w:w="1440" w:type="dxa"/>
            <w:tcMar>
              <w:top w:w="80" w:type="dxa"/>
              <w:left w:w="80" w:type="dxa"/>
              <w:bottom w:w="80" w:type="dxa"/>
              <w:right w:w="80" w:type="dxa"/>
            </w:tcMar>
            <w:vAlign w:val="top"/>
          </w:tcPr>
          <w:p w14:paraId="54379E07">
            <w:pPr>
              <w:spacing w:after="0" w:line="240" w:lineRule="auto"/>
            </w:pPr>
            <w:r>
              <w:rPr>
                <w:rFonts w:ascii="Times New Roman" w:hAnsi="Times New Roman" w:eastAsia="Times New Roman"/>
                <w:sz w:val="18"/>
              </w:rPr>
              <w:t>1–7</w:t>
            </w:r>
          </w:p>
        </w:tc>
      </w:tr>
      <w:tr w14:paraId="0085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242C2CFF">
            <w:pPr>
              <w:spacing w:after="0" w:line="240" w:lineRule="auto"/>
            </w:pPr>
            <w:r>
              <w:rPr>
                <w:rFonts w:ascii="Times New Roman" w:hAnsi="Times New Roman" w:eastAsia="Times New Roman"/>
                <w:sz w:val="18"/>
              </w:rPr>
              <w:t>J7</w:t>
            </w:r>
          </w:p>
        </w:tc>
        <w:tc>
          <w:tcPr>
            <w:tcW w:w="7992" w:type="dxa"/>
            <w:tcMar>
              <w:top w:w="80" w:type="dxa"/>
              <w:left w:w="80" w:type="dxa"/>
              <w:bottom w:w="80" w:type="dxa"/>
              <w:right w:w="80" w:type="dxa"/>
            </w:tcMar>
            <w:vAlign w:val="top"/>
          </w:tcPr>
          <w:p w14:paraId="3B778CA1">
            <w:pPr>
              <w:spacing w:after="0" w:line="240" w:lineRule="auto"/>
            </w:pPr>
            <w:r>
              <w:rPr>
                <w:rFonts w:ascii="Times New Roman" w:hAnsi="Times New Roman" w:eastAsia="Times New Roman"/>
                <w:sz w:val="18"/>
              </w:rPr>
              <w:t>I would be willing to accept residue testing or buyer verification in this situation.</w:t>
            </w:r>
          </w:p>
        </w:tc>
        <w:tc>
          <w:tcPr>
            <w:tcW w:w="1440" w:type="dxa"/>
            <w:tcMar>
              <w:top w:w="80" w:type="dxa"/>
              <w:left w:w="80" w:type="dxa"/>
              <w:bottom w:w="80" w:type="dxa"/>
              <w:right w:w="80" w:type="dxa"/>
            </w:tcMar>
            <w:vAlign w:val="top"/>
          </w:tcPr>
          <w:p w14:paraId="70761B4B">
            <w:pPr>
              <w:spacing w:after="0" w:line="240" w:lineRule="auto"/>
            </w:pPr>
            <w:r>
              <w:rPr>
                <w:rFonts w:ascii="Times New Roman" w:hAnsi="Times New Roman" w:eastAsia="Times New Roman"/>
                <w:sz w:val="18"/>
              </w:rPr>
              <w:t>1–7</w:t>
            </w:r>
          </w:p>
        </w:tc>
      </w:tr>
    </w:tbl>
    <w:p w14:paraId="0EA36A1B"/>
    <w:p w14:paraId="70CA96DB">
      <w:pPr>
        <w:pStyle w:val="3"/>
        <w:keepNext/>
        <w:spacing w:before="120" w:after="80"/>
      </w:pPr>
      <w:r>
        <w:rPr>
          <w:rFonts w:ascii="Times New Roman" w:hAnsi="Times New Roman" w:eastAsia="Times New Roman"/>
          <w:b/>
          <w:sz w:val="26"/>
        </w:rPr>
        <w:t xml:space="preserve">Section </w:t>
      </w:r>
      <w:r>
        <w:rPr>
          <w:rFonts w:hint="eastAsia" w:ascii="Times New Roman" w:hAnsi="Times New Roman" w:eastAsia="宋体"/>
          <w:b/>
          <w:sz w:val="26"/>
          <w:lang w:val="en-US" w:eastAsia="zh-CN"/>
        </w:rPr>
        <w:t>J</w:t>
      </w:r>
      <w:r>
        <w:rPr>
          <w:rFonts w:ascii="Times New Roman" w:hAnsi="Times New Roman" w:eastAsia="Times New Roman"/>
          <w:b/>
          <w:sz w:val="26"/>
        </w:rPr>
        <w:t>. Manipulation Checks</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5360"/>
        <w:gridCol w:w="2378"/>
      </w:tblGrid>
      <w:tr w14:paraId="73ED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0AFD8278">
            <w:pPr>
              <w:spacing w:after="0" w:line="240" w:lineRule="auto"/>
              <w:jc w:val="center"/>
            </w:pPr>
            <w:r>
              <w:rPr>
                <w:rFonts w:ascii="Times New Roman" w:hAnsi="Times New Roman" w:eastAsia="Times New Roman"/>
                <w:b/>
                <w:sz w:val="18"/>
              </w:rPr>
              <w:t>Item</w:t>
            </w:r>
          </w:p>
        </w:tc>
        <w:tc>
          <w:tcPr>
            <w:tcW w:w="6696" w:type="dxa"/>
            <w:shd w:val="clear" w:color="auto" w:fill="D9D9D9"/>
            <w:tcMar>
              <w:top w:w="80" w:type="dxa"/>
              <w:left w:w="80" w:type="dxa"/>
              <w:bottom w:w="80" w:type="dxa"/>
              <w:right w:w="80" w:type="dxa"/>
            </w:tcMar>
            <w:vAlign w:val="center"/>
          </w:tcPr>
          <w:p w14:paraId="4D32DFF3">
            <w:pPr>
              <w:spacing w:after="0" w:line="240" w:lineRule="auto"/>
              <w:jc w:val="center"/>
            </w:pPr>
            <w:r>
              <w:rPr>
                <w:rFonts w:ascii="Times New Roman" w:hAnsi="Times New Roman" w:eastAsia="Times New Roman"/>
                <w:b/>
                <w:sz w:val="18"/>
              </w:rPr>
              <w:t>Question</w:t>
            </w:r>
          </w:p>
        </w:tc>
        <w:tc>
          <w:tcPr>
            <w:tcW w:w="2736" w:type="dxa"/>
            <w:shd w:val="clear" w:color="auto" w:fill="D9D9D9"/>
            <w:tcMar>
              <w:top w:w="80" w:type="dxa"/>
              <w:left w:w="80" w:type="dxa"/>
              <w:bottom w:w="80" w:type="dxa"/>
              <w:right w:w="80" w:type="dxa"/>
            </w:tcMar>
            <w:vAlign w:val="center"/>
          </w:tcPr>
          <w:p w14:paraId="126D8956">
            <w:pPr>
              <w:spacing w:after="0" w:line="240" w:lineRule="auto"/>
              <w:jc w:val="center"/>
            </w:pPr>
            <w:r>
              <w:rPr>
                <w:rFonts w:ascii="Times New Roman" w:hAnsi="Times New Roman" w:eastAsia="Times New Roman"/>
                <w:b/>
                <w:sz w:val="18"/>
              </w:rPr>
              <w:t>Response</w:t>
            </w:r>
          </w:p>
        </w:tc>
      </w:tr>
      <w:tr w14:paraId="4D25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1D129CE">
            <w:pPr>
              <w:spacing w:after="0" w:line="240" w:lineRule="auto"/>
            </w:pPr>
            <w:r>
              <w:rPr>
                <w:rFonts w:ascii="Times New Roman" w:hAnsi="Times New Roman" w:eastAsia="Times New Roman"/>
                <w:sz w:val="18"/>
              </w:rPr>
              <w:t>K1</w:t>
            </w:r>
          </w:p>
        </w:tc>
        <w:tc>
          <w:tcPr>
            <w:tcW w:w="6696" w:type="dxa"/>
            <w:tcMar>
              <w:top w:w="80" w:type="dxa"/>
              <w:left w:w="80" w:type="dxa"/>
              <w:bottom w:w="80" w:type="dxa"/>
              <w:right w:w="80" w:type="dxa"/>
            </w:tcMar>
            <w:vAlign w:val="top"/>
          </w:tcPr>
          <w:p w14:paraId="7B8A33E5">
            <w:pPr>
              <w:spacing w:after="0" w:line="240" w:lineRule="auto"/>
            </w:pPr>
            <w:r>
              <w:rPr>
                <w:rFonts w:ascii="Times New Roman" w:hAnsi="Times New Roman" w:eastAsia="Times New Roman"/>
                <w:sz w:val="18"/>
              </w:rPr>
              <w:t>Which message did the scenario emphasize?</w:t>
            </w:r>
          </w:p>
        </w:tc>
        <w:tc>
          <w:tcPr>
            <w:tcW w:w="2736" w:type="dxa"/>
            <w:tcMar>
              <w:top w:w="80" w:type="dxa"/>
              <w:left w:w="80" w:type="dxa"/>
              <w:bottom w:w="80" w:type="dxa"/>
              <w:right w:w="80" w:type="dxa"/>
            </w:tcMar>
            <w:vAlign w:val="top"/>
          </w:tcPr>
          <w:p w14:paraId="21C85516">
            <w:pPr>
              <w:spacing w:after="0" w:line="240" w:lineRule="auto"/>
            </w:pPr>
            <w:r>
              <w:rPr>
                <w:rFonts w:ascii="Times New Roman" w:hAnsi="Times New Roman" w:eastAsia="Times New Roman"/>
                <w:sz w:val="18"/>
              </w:rPr>
              <w:t>General AMR risk / Responsibility to interconnected One Health interests / Unsure</w:t>
            </w:r>
          </w:p>
        </w:tc>
      </w:tr>
      <w:tr w14:paraId="28B6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1ECE4B4">
            <w:pPr>
              <w:spacing w:after="0" w:line="240" w:lineRule="auto"/>
            </w:pPr>
            <w:r>
              <w:rPr>
                <w:rFonts w:ascii="Times New Roman" w:hAnsi="Times New Roman" w:eastAsia="Times New Roman"/>
                <w:sz w:val="18"/>
              </w:rPr>
              <w:t>K2</w:t>
            </w:r>
          </w:p>
        </w:tc>
        <w:tc>
          <w:tcPr>
            <w:tcW w:w="6696" w:type="dxa"/>
            <w:tcMar>
              <w:top w:w="80" w:type="dxa"/>
              <w:left w:w="80" w:type="dxa"/>
              <w:bottom w:w="80" w:type="dxa"/>
              <w:right w:w="80" w:type="dxa"/>
            </w:tcMar>
            <w:vAlign w:val="top"/>
          </w:tcPr>
          <w:p w14:paraId="1058A4FD">
            <w:pPr>
              <w:spacing w:after="0" w:line="240" w:lineRule="auto"/>
            </w:pPr>
            <w:r>
              <w:rPr>
                <w:rFonts w:ascii="Times New Roman" w:hAnsi="Times New Roman" w:eastAsia="Times New Roman"/>
                <w:sz w:val="18"/>
              </w:rPr>
              <w:t>How was regulation described?</w:t>
            </w:r>
          </w:p>
        </w:tc>
        <w:tc>
          <w:tcPr>
            <w:tcW w:w="2736" w:type="dxa"/>
            <w:tcMar>
              <w:top w:w="80" w:type="dxa"/>
              <w:left w:w="80" w:type="dxa"/>
              <w:bottom w:w="80" w:type="dxa"/>
              <w:right w:w="80" w:type="dxa"/>
            </w:tcMar>
            <w:vAlign w:val="top"/>
          </w:tcPr>
          <w:p w14:paraId="16C586D8">
            <w:pPr>
              <w:spacing w:after="0" w:line="240" w:lineRule="auto"/>
            </w:pPr>
            <w:r>
              <w:rPr>
                <w:rFonts w:ascii="Times New Roman" w:hAnsi="Times New Roman" w:eastAsia="Times New Roman"/>
                <w:sz w:val="18"/>
              </w:rPr>
              <w:t>Penalties and inspection only / Enforcement combined with guidance and support / Unsure</w:t>
            </w:r>
          </w:p>
        </w:tc>
      </w:tr>
      <w:tr w14:paraId="0921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5F0164F4">
            <w:pPr>
              <w:spacing w:after="0" w:line="240" w:lineRule="auto"/>
            </w:pPr>
            <w:r>
              <w:rPr>
                <w:rFonts w:ascii="Times New Roman" w:hAnsi="Times New Roman" w:eastAsia="Times New Roman"/>
                <w:sz w:val="18"/>
              </w:rPr>
              <w:t>K3</w:t>
            </w:r>
          </w:p>
        </w:tc>
        <w:tc>
          <w:tcPr>
            <w:tcW w:w="6696" w:type="dxa"/>
            <w:tcMar>
              <w:top w:w="80" w:type="dxa"/>
              <w:left w:w="80" w:type="dxa"/>
              <w:bottom w:w="80" w:type="dxa"/>
              <w:right w:w="80" w:type="dxa"/>
            </w:tcMar>
            <w:vAlign w:val="top"/>
          </w:tcPr>
          <w:p w14:paraId="5792A4B6">
            <w:pPr>
              <w:spacing w:after="0" w:line="240" w:lineRule="auto"/>
            </w:pPr>
            <w:r>
              <w:rPr>
                <w:rFonts w:ascii="Times New Roman" w:hAnsi="Times New Roman" w:eastAsia="Times New Roman"/>
                <w:sz w:val="18"/>
              </w:rPr>
              <w:t>Was an additional qualified veterinary consultation channel available?</w:t>
            </w:r>
          </w:p>
        </w:tc>
        <w:tc>
          <w:tcPr>
            <w:tcW w:w="2736" w:type="dxa"/>
            <w:tcMar>
              <w:top w:w="80" w:type="dxa"/>
              <w:left w:w="80" w:type="dxa"/>
              <w:bottom w:w="80" w:type="dxa"/>
              <w:right w:w="80" w:type="dxa"/>
            </w:tcMar>
            <w:vAlign w:val="top"/>
          </w:tcPr>
          <w:p w14:paraId="2456AADE">
            <w:pPr>
              <w:spacing w:after="0" w:line="240" w:lineRule="auto"/>
            </w:pPr>
            <w:r>
              <w:rPr>
                <w:rFonts w:ascii="Times New Roman" w:hAnsi="Times New Roman" w:eastAsia="Times New Roman"/>
                <w:sz w:val="18"/>
              </w:rPr>
              <w:t>Yes / No / Unsure</w:t>
            </w:r>
          </w:p>
        </w:tc>
      </w:tr>
      <w:tr w14:paraId="133F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1A0D564C">
            <w:pPr>
              <w:spacing w:after="0" w:line="240" w:lineRule="auto"/>
            </w:pPr>
            <w:r>
              <w:rPr>
                <w:rFonts w:ascii="Times New Roman" w:hAnsi="Times New Roman" w:eastAsia="Times New Roman"/>
                <w:sz w:val="18"/>
              </w:rPr>
              <w:t>K4</w:t>
            </w:r>
          </w:p>
        </w:tc>
        <w:tc>
          <w:tcPr>
            <w:tcW w:w="6696" w:type="dxa"/>
            <w:tcMar>
              <w:top w:w="80" w:type="dxa"/>
              <w:left w:w="80" w:type="dxa"/>
              <w:bottom w:w="80" w:type="dxa"/>
              <w:right w:w="80" w:type="dxa"/>
            </w:tcMar>
            <w:vAlign w:val="top"/>
          </w:tcPr>
          <w:p w14:paraId="29CE122D">
            <w:pPr>
              <w:spacing w:after="0" w:line="240" w:lineRule="auto"/>
            </w:pPr>
            <w:r>
              <w:rPr>
                <w:rFonts w:ascii="Times New Roman" w:hAnsi="Times New Roman" w:eastAsia="Times New Roman"/>
                <w:sz w:val="18"/>
              </w:rPr>
              <w:t>How carefully did you read the scenario?</w:t>
            </w:r>
          </w:p>
        </w:tc>
        <w:tc>
          <w:tcPr>
            <w:tcW w:w="2736" w:type="dxa"/>
            <w:tcMar>
              <w:top w:w="80" w:type="dxa"/>
              <w:left w:w="80" w:type="dxa"/>
              <w:bottom w:w="80" w:type="dxa"/>
              <w:right w:w="80" w:type="dxa"/>
            </w:tcMar>
            <w:vAlign w:val="top"/>
          </w:tcPr>
          <w:p w14:paraId="6024E1CE">
            <w:pPr>
              <w:spacing w:after="0" w:line="240" w:lineRule="auto"/>
            </w:pPr>
            <w:r>
              <w:rPr>
                <w:rFonts w:ascii="Times New Roman" w:hAnsi="Times New Roman" w:eastAsia="Times New Roman"/>
                <w:sz w:val="18"/>
              </w:rPr>
              <w:t>1 = Not carefully at all to 7 = Very carefully</w:t>
            </w:r>
          </w:p>
        </w:tc>
      </w:tr>
    </w:tbl>
    <w:p w14:paraId="1E730BB6"/>
    <w:p w14:paraId="5D1D4A1F">
      <w:pPr>
        <w:pStyle w:val="3"/>
        <w:keepNext/>
        <w:spacing w:before="120" w:after="80"/>
      </w:pPr>
      <w:r>
        <w:rPr>
          <w:rFonts w:ascii="Times New Roman" w:hAnsi="Times New Roman" w:eastAsia="Times New Roman"/>
          <w:b/>
          <w:sz w:val="26"/>
        </w:rPr>
        <w:t xml:space="preserve">Section </w:t>
      </w:r>
      <w:r>
        <w:rPr>
          <w:rFonts w:hint="eastAsia" w:ascii="Times New Roman" w:hAnsi="Times New Roman" w:eastAsia="宋体"/>
          <w:b/>
          <w:sz w:val="26"/>
          <w:lang w:val="en-US" w:eastAsia="zh-CN"/>
        </w:rPr>
        <w:t>K</w:t>
      </w:r>
      <w:r>
        <w:rPr>
          <w:rFonts w:ascii="Times New Roman" w:hAnsi="Times New Roman" w:eastAsia="Times New Roman"/>
          <w:b/>
          <w:sz w:val="26"/>
        </w:rPr>
        <w:t>. Behavioral-Validation Module</w:t>
      </w:r>
    </w:p>
    <w:p w14:paraId="2D9628E3">
      <w:pPr>
        <w:keepNext w:val="0"/>
        <w:spacing w:after="80" w:line="259" w:lineRule="auto"/>
      </w:pPr>
      <w:r>
        <w:rPr>
          <w:rFonts w:hint="eastAsia"/>
        </w:rPr>
        <w:t>This module was administered only to participants included in the validation subsample after separate informed consent and in accordance with the study’s confidentiality and data-protection procedures.</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5439"/>
        <w:gridCol w:w="2306"/>
      </w:tblGrid>
      <w:tr w14:paraId="2808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D9D9D9"/>
            <w:tcMar>
              <w:top w:w="80" w:type="dxa"/>
              <w:left w:w="80" w:type="dxa"/>
              <w:bottom w:w="80" w:type="dxa"/>
              <w:right w:w="80" w:type="dxa"/>
            </w:tcMar>
            <w:vAlign w:val="center"/>
          </w:tcPr>
          <w:p w14:paraId="17F56FC8">
            <w:pPr>
              <w:spacing w:after="0" w:line="240" w:lineRule="auto"/>
              <w:jc w:val="center"/>
            </w:pPr>
            <w:r>
              <w:rPr>
                <w:rFonts w:ascii="Times New Roman" w:hAnsi="Times New Roman" w:eastAsia="Times New Roman"/>
                <w:b/>
                <w:sz w:val="18"/>
              </w:rPr>
              <w:t>Item</w:t>
            </w:r>
          </w:p>
        </w:tc>
        <w:tc>
          <w:tcPr>
            <w:tcW w:w="6840" w:type="dxa"/>
            <w:shd w:val="clear" w:color="auto" w:fill="D9D9D9"/>
            <w:tcMar>
              <w:top w:w="80" w:type="dxa"/>
              <w:left w:w="80" w:type="dxa"/>
              <w:bottom w:w="80" w:type="dxa"/>
              <w:right w:w="80" w:type="dxa"/>
            </w:tcMar>
            <w:vAlign w:val="center"/>
          </w:tcPr>
          <w:p w14:paraId="47722F55">
            <w:pPr>
              <w:spacing w:after="0" w:line="240" w:lineRule="auto"/>
              <w:jc w:val="center"/>
            </w:pPr>
            <w:r>
              <w:rPr>
                <w:rFonts w:ascii="Times New Roman" w:hAnsi="Times New Roman" w:eastAsia="Times New Roman"/>
                <w:b/>
                <w:sz w:val="18"/>
              </w:rPr>
              <w:t>Validation question</w:t>
            </w:r>
          </w:p>
        </w:tc>
        <w:tc>
          <w:tcPr>
            <w:tcW w:w="2592" w:type="dxa"/>
            <w:shd w:val="clear" w:color="auto" w:fill="D9D9D9"/>
            <w:tcMar>
              <w:top w:w="80" w:type="dxa"/>
              <w:left w:w="80" w:type="dxa"/>
              <w:bottom w:w="80" w:type="dxa"/>
              <w:right w:w="80" w:type="dxa"/>
            </w:tcMar>
            <w:vAlign w:val="center"/>
          </w:tcPr>
          <w:p w14:paraId="74482311">
            <w:pPr>
              <w:spacing w:after="0" w:line="240" w:lineRule="auto"/>
              <w:jc w:val="center"/>
            </w:pPr>
            <w:r>
              <w:rPr>
                <w:rFonts w:ascii="Times New Roman" w:hAnsi="Times New Roman" w:eastAsia="Times New Roman"/>
                <w:b/>
                <w:sz w:val="18"/>
              </w:rPr>
              <w:t>Response</w:t>
            </w:r>
          </w:p>
        </w:tc>
      </w:tr>
      <w:tr w14:paraId="2830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33573805">
            <w:pPr>
              <w:spacing w:after="0" w:line="240" w:lineRule="auto"/>
            </w:pPr>
            <w:r>
              <w:rPr>
                <w:rFonts w:ascii="Times New Roman" w:hAnsi="Times New Roman" w:eastAsia="Times New Roman"/>
                <w:sz w:val="18"/>
              </w:rPr>
              <w:t>L1</w:t>
            </w:r>
          </w:p>
        </w:tc>
        <w:tc>
          <w:tcPr>
            <w:tcW w:w="6840" w:type="dxa"/>
            <w:tcMar>
              <w:top w:w="80" w:type="dxa"/>
              <w:left w:w="80" w:type="dxa"/>
              <w:bottom w:w="80" w:type="dxa"/>
              <w:right w:w="80" w:type="dxa"/>
            </w:tcMar>
            <w:vAlign w:val="top"/>
          </w:tcPr>
          <w:p w14:paraId="12B693D4">
            <w:pPr>
              <w:spacing w:after="0" w:line="240" w:lineRule="auto"/>
            </w:pPr>
            <w:r>
              <w:rPr>
                <w:rFonts w:ascii="Times New Roman" w:hAnsi="Times New Roman" w:eastAsia="Times New Roman"/>
                <w:sz w:val="18"/>
              </w:rPr>
              <w:t>Are you willing to provide an anonymized medicine-use record, purchase invoice, veterinary prescription, withdrawal-period log, testing certificate, inspection document, or buyer certification document?</w:t>
            </w:r>
          </w:p>
        </w:tc>
        <w:tc>
          <w:tcPr>
            <w:tcW w:w="2592" w:type="dxa"/>
            <w:tcMar>
              <w:top w:w="80" w:type="dxa"/>
              <w:left w:w="80" w:type="dxa"/>
              <w:bottom w:w="80" w:type="dxa"/>
              <w:right w:w="80" w:type="dxa"/>
            </w:tcMar>
            <w:vAlign w:val="top"/>
          </w:tcPr>
          <w:p w14:paraId="1324E4FF">
            <w:pPr>
              <w:spacing w:after="0" w:line="240" w:lineRule="auto"/>
            </w:pPr>
            <w:r>
              <w:rPr>
                <w:rFonts w:ascii="Times New Roman" w:hAnsi="Times New Roman" w:eastAsia="Times New Roman"/>
                <w:sz w:val="18"/>
              </w:rPr>
              <w:t>Yes / No</w:t>
            </w:r>
          </w:p>
        </w:tc>
      </w:tr>
      <w:tr w14:paraId="3F1B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336BC66">
            <w:pPr>
              <w:spacing w:after="0" w:line="240" w:lineRule="auto"/>
            </w:pPr>
            <w:r>
              <w:rPr>
                <w:rFonts w:ascii="Times New Roman" w:hAnsi="Times New Roman" w:eastAsia="Times New Roman"/>
                <w:sz w:val="18"/>
              </w:rPr>
              <w:t>L2</w:t>
            </w:r>
          </w:p>
        </w:tc>
        <w:tc>
          <w:tcPr>
            <w:tcW w:w="6840" w:type="dxa"/>
            <w:tcMar>
              <w:top w:w="80" w:type="dxa"/>
              <w:left w:w="80" w:type="dxa"/>
              <w:bottom w:w="80" w:type="dxa"/>
              <w:right w:w="80" w:type="dxa"/>
            </w:tcMar>
            <w:vAlign w:val="top"/>
          </w:tcPr>
          <w:p w14:paraId="242CAE5F">
            <w:pPr>
              <w:spacing w:after="0" w:line="240" w:lineRule="auto"/>
            </w:pPr>
            <w:r>
              <w:rPr>
                <w:rFonts w:ascii="Times New Roman" w:hAnsi="Times New Roman" w:eastAsia="Times New Roman"/>
                <w:sz w:val="18"/>
              </w:rPr>
              <w:t>Which type(s) of record are available?</w:t>
            </w:r>
          </w:p>
        </w:tc>
        <w:tc>
          <w:tcPr>
            <w:tcW w:w="2592" w:type="dxa"/>
            <w:tcMar>
              <w:top w:w="80" w:type="dxa"/>
              <w:left w:w="80" w:type="dxa"/>
              <w:bottom w:w="80" w:type="dxa"/>
              <w:right w:w="80" w:type="dxa"/>
            </w:tcMar>
            <w:vAlign w:val="top"/>
          </w:tcPr>
          <w:p w14:paraId="1E152457">
            <w:pPr>
              <w:spacing w:after="0" w:line="240" w:lineRule="auto"/>
            </w:pPr>
            <w:r>
              <w:rPr>
                <w:rFonts w:ascii="Times New Roman" w:hAnsi="Times New Roman" w:eastAsia="Times New Roman"/>
                <w:sz w:val="18"/>
              </w:rPr>
              <w:t>Select all applicable record types</w:t>
            </w:r>
          </w:p>
        </w:tc>
      </w:tr>
      <w:tr w14:paraId="3CEA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5316C2CA">
            <w:pPr>
              <w:spacing w:after="0" w:line="240" w:lineRule="auto"/>
            </w:pPr>
            <w:r>
              <w:rPr>
                <w:rFonts w:ascii="Times New Roman" w:hAnsi="Times New Roman" w:eastAsia="Times New Roman"/>
                <w:sz w:val="18"/>
              </w:rPr>
              <w:t>L3</w:t>
            </w:r>
          </w:p>
        </w:tc>
        <w:tc>
          <w:tcPr>
            <w:tcW w:w="6840" w:type="dxa"/>
            <w:tcMar>
              <w:top w:w="80" w:type="dxa"/>
              <w:left w:w="80" w:type="dxa"/>
              <w:bottom w:w="80" w:type="dxa"/>
              <w:right w:w="80" w:type="dxa"/>
            </w:tcMar>
            <w:vAlign w:val="top"/>
          </w:tcPr>
          <w:p w14:paraId="625820AB">
            <w:pPr>
              <w:spacing w:after="0" w:line="240" w:lineRule="auto"/>
            </w:pPr>
            <w:r>
              <w:rPr>
                <w:rFonts w:ascii="Times New Roman" w:hAnsi="Times New Roman" w:eastAsia="Times New Roman"/>
                <w:sz w:val="18"/>
              </w:rPr>
              <w:t>Does the record indicate that veterinary consultation occurred for the most recent relevant antimicrobial-use episode?</w:t>
            </w:r>
          </w:p>
        </w:tc>
        <w:tc>
          <w:tcPr>
            <w:tcW w:w="2592" w:type="dxa"/>
            <w:tcMar>
              <w:top w:w="80" w:type="dxa"/>
              <w:left w:w="80" w:type="dxa"/>
              <w:bottom w:w="80" w:type="dxa"/>
              <w:right w:w="80" w:type="dxa"/>
            </w:tcMar>
            <w:vAlign w:val="top"/>
          </w:tcPr>
          <w:p w14:paraId="50F81247">
            <w:pPr>
              <w:spacing w:after="0" w:line="240" w:lineRule="auto"/>
            </w:pPr>
            <w:r>
              <w:rPr>
                <w:rFonts w:ascii="Times New Roman" w:hAnsi="Times New Roman" w:eastAsia="Times New Roman"/>
                <w:sz w:val="18"/>
              </w:rPr>
              <w:t>Yes / No / Not determinable</w:t>
            </w:r>
          </w:p>
        </w:tc>
      </w:tr>
      <w:tr w14:paraId="2856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554B097E">
            <w:pPr>
              <w:spacing w:after="0" w:line="240" w:lineRule="auto"/>
            </w:pPr>
            <w:r>
              <w:rPr>
                <w:rFonts w:ascii="Times New Roman" w:hAnsi="Times New Roman" w:eastAsia="Times New Roman"/>
                <w:sz w:val="18"/>
              </w:rPr>
              <w:t>L4</w:t>
            </w:r>
          </w:p>
        </w:tc>
        <w:tc>
          <w:tcPr>
            <w:tcW w:w="6840" w:type="dxa"/>
            <w:tcMar>
              <w:top w:w="80" w:type="dxa"/>
              <w:left w:w="80" w:type="dxa"/>
              <w:bottom w:w="80" w:type="dxa"/>
              <w:right w:w="80" w:type="dxa"/>
            </w:tcMar>
            <w:vAlign w:val="top"/>
          </w:tcPr>
          <w:p w14:paraId="240F8776">
            <w:pPr>
              <w:spacing w:after="0" w:line="240" w:lineRule="auto"/>
            </w:pPr>
            <w:r>
              <w:rPr>
                <w:rFonts w:ascii="Times New Roman" w:hAnsi="Times New Roman" w:eastAsia="Times New Roman"/>
                <w:sz w:val="18"/>
              </w:rPr>
              <w:t>Is the medicine-use record complete for the selected episode?</w:t>
            </w:r>
          </w:p>
        </w:tc>
        <w:tc>
          <w:tcPr>
            <w:tcW w:w="2592" w:type="dxa"/>
            <w:tcMar>
              <w:top w:w="80" w:type="dxa"/>
              <w:left w:w="80" w:type="dxa"/>
              <w:bottom w:w="80" w:type="dxa"/>
              <w:right w:w="80" w:type="dxa"/>
            </w:tcMar>
            <w:vAlign w:val="top"/>
          </w:tcPr>
          <w:p w14:paraId="7388DA6B">
            <w:pPr>
              <w:spacing w:after="0" w:line="240" w:lineRule="auto"/>
            </w:pPr>
            <w:r>
              <w:rPr>
                <w:rFonts w:ascii="Times New Roman" w:hAnsi="Times New Roman" w:eastAsia="Times New Roman"/>
                <w:sz w:val="18"/>
              </w:rPr>
              <w:t>Complete / Partially complete / Not available</w:t>
            </w:r>
          </w:p>
        </w:tc>
      </w:tr>
      <w:tr w14:paraId="1C58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651073A2">
            <w:pPr>
              <w:spacing w:after="0" w:line="240" w:lineRule="auto"/>
            </w:pPr>
            <w:r>
              <w:rPr>
                <w:rFonts w:ascii="Times New Roman" w:hAnsi="Times New Roman" w:eastAsia="Times New Roman"/>
                <w:sz w:val="18"/>
              </w:rPr>
              <w:t>L5</w:t>
            </w:r>
          </w:p>
        </w:tc>
        <w:tc>
          <w:tcPr>
            <w:tcW w:w="6840" w:type="dxa"/>
            <w:tcMar>
              <w:top w:w="80" w:type="dxa"/>
              <w:left w:w="80" w:type="dxa"/>
              <w:bottom w:w="80" w:type="dxa"/>
              <w:right w:w="80" w:type="dxa"/>
            </w:tcMar>
            <w:vAlign w:val="top"/>
          </w:tcPr>
          <w:p w14:paraId="55629D02">
            <w:pPr>
              <w:spacing w:after="0" w:line="240" w:lineRule="auto"/>
            </w:pPr>
            <w:r>
              <w:rPr>
                <w:rFonts w:ascii="Times New Roman" w:hAnsi="Times New Roman" w:eastAsia="Times New Roman"/>
                <w:sz w:val="18"/>
              </w:rPr>
              <w:t>Does the available record support observance of the required withdrawal period?</w:t>
            </w:r>
          </w:p>
        </w:tc>
        <w:tc>
          <w:tcPr>
            <w:tcW w:w="2592" w:type="dxa"/>
            <w:tcMar>
              <w:top w:w="80" w:type="dxa"/>
              <w:left w:w="80" w:type="dxa"/>
              <w:bottom w:w="80" w:type="dxa"/>
              <w:right w:w="80" w:type="dxa"/>
            </w:tcMar>
            <w:vAlign w:val="top"/>
          </w:tcPr>
          <w:p w14:paraId="1DABCF05">
            <w:pPr>
              <w:spacing w:after="0" w:line="240" w:lineRule="auto"/>
            </w:pPr>
            <w:r>
              <w:rPr>
                <w:rFonts w:ascii="Times New Roman" w:hAnsi="Times New Roman" w:eastAsia="Times New Roman"/>
                <w:sz w:val="18"/>
              </w:rPr>
              <w:t>Yes / No / Not determinable</w:t>
            </w:r>
          </w:p>
        </w:tc>
      </w:tr>
      <w:tr w14:paraId="3DD5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55DF4C31">
            <w:pPr>
              <w:spacing w:after="0" w:line="240" w:lineRule="auto"/>
            </w:pPr>
            <w:r>
              <w:rPr>
                <w:rFonts w:ascii="Times New Roman" w:hAnsi="Times New Roman" w:eastAsia="Times New Roman"/>
                <w:sz w:val="18"/>
              </w:rPr>
              <w:t>L6</w:t>
            </w:r>
          </w:p>
        </w:tc>
        <w:tc>
          <w:tcPr>
            <w:tcW w:w="6840" w:type="dxa"/>
            <w:tcMar>
              <w:top w:w="80" w:type="dxa"/>
              <w:left w:w="80" w:type="dxa"/>
              <w:bottom w:w="80" w:type="dxa"/>
              <w:right w:w="80" w:type="dxa"/>
            </w:tcMar>
            <w:vAlign w:val="top"/>
          </w:tcPr>
          <w:p w14:paraId="53F30DF2">
            <w:pPr>
              <w:spacing w:after="0" w:line="240" w:lineRule="auto"/>
            </w:pPr>
            <w:r>
              <w:rPr>
                <w:rFonts w:ascii="Times New Roman" w:hAnsi="Times New Roman" w:eastAsia="Times New Roman"/>
                <w:sz w:val="18"/>
              </w:rPr>
              <w:t>Document date and eligible observation window</w:t>
            </w:r>
          </w:p>
        </w:tc>
        <w:tc>
          <w:tcPr>
            <w:tcW w:w="2592" w:type="dxa"/>
            <w:tcMar>
              <w:top w:w="80" w:type="dxa"/>
              <w:left w:w="80" w:type="dxa"/>
              <w:bottom w:w="80" w:type="dxa"/>
              <w:right w:w="80" w:type="dxa"/>
            </w:tcMar>
            <w:vAlign w:val="top"/>
          </w:tcPr>
          <w:p w14:paraId="49A51BA0">
            <w:pPr>
              <w:spacing w:after="0" w:line="240" w:lineRule="auto"/>
            </w:pPr>
            <w:r>
              <w:rPr>
                <w:rFonts w:ascii="Times New Roman" w:hAnsi="Times New Roman" w:eastAsia="Times New Roman"/>
                <w:sz w:val="18"/>
              </w:rPr>
              <w:t>Researcher-coded; no direct identifiers retained</w:t>
            </w:r>
          </w:p>
        </w:tc>
      </w:tr>
      <w:tr w14:paraId="4162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80" w:type="dxa"/>
              <w:bottom w:w="80" w:type="dxa"/>
              <w:right w:w="80" w:type="dxa"/>
            </w:tcMar>
            <w:vAlign w:val="top"/>
          </w:tcPr>
          <w:p w14:paraId="0C08B423">
            <w:pPr>
              <w:spacing w:after="0" w:line="240" w:lineRule="auto"/>
            </w:pPr>
            <w:r>
              <w:rPr>
                <w:rFonts w:ascii="Times New Roman" w:hAnsi="Times New Roman" w:eastAsia="Times New Roman"/>
                <w:sz w:val="18"/>
              </w:rPr>
              <w:t>L7</w:t>
            </w:r>
          </w:p>
        </w:tc>
        <w:tc>
          <w:tcPr>
            <w:tcW w:w="6840" w:type="dxa"/>
            <w:tcMar>
              <w:top w:w="80" w:type="dxa"/>
              <w:left w:w="80" w:type="dxa"/>
              <w:bottom w:w="80" w:type="dxa"/>
              <w:right w:w="80" w:type="dxa"/>
            </w:tcMar>
            <w:vAlign w:val="top"/>
          </w:tcPr>
          <w:p w14:paraId="08AF0010">
            <w:pPr>
              <w:spacing w:after="0" w:line="240" w:lineRule="auto"/>
            </w:pPr>
            <w:r>
              <w:rPr>
                <w:rFonts w:ascii="Times New Roman" w:hAnsi="Times New Roman" w:eastAsia="Times New Roman"/>
                <w:sz w:val="18"/>
              </w:rPr>
              <w:t>Reason no document was provided</w:t>
            </w:r>
          </w:p>
        </w:tc>
        <w:tc>
          <w:tcPr>
            <w:tcW w:w="2592" w:type="dxa"/>
            <w:tcMar>
              <w:top w:w="80" w:type="dxa"/>
              <w:left w:w="80" w:type="dxa"/>
              <w:bottom w:w="80" w:type="dxa"/>
              <w:right w:w="80" w:type="dxa"/>
            </w:tcMar>
            <w:vAlign w:val="top"/>
          </w:tcPr>
          <w:p w14:paraId="305D142F">
            <w:pPr>
              <w:spacing w:after="0" w:line="240" w:lineRule="auto"/>
            </w:pPr>
            <w:r>
              <w:rPr>
                <w:rFonts w:ascii="Times New Roman" w:hAnsi="Times New Roman" w:eastAsia="Times New Roman"/>
                <w:sz w:val="18"/>
              </w:rPr>
              <w:t>No record exists / Unable to locate / Confidentiality concern / Other</w:t>
            </w:r>
          </w:p>
        </w:tc>
      </w:tr>
    </w:tbl>
    <w:p w14:paraId="145AC96B">
      <w:r>
        <w:br w:type="page"/>
      </w:r>
    </w:p>
    <w:p w14:paraId="4480069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15645B"/>
    <w:multiLevelType w:val="singleLevel"/>
    <w:tmpl w:val="6C15645B"/>
    <w:lvl w:ilvl="0" w:tentative="0">
      <w:start w:val="1"/>
      <w:numFmt w:val="bullet"/>
      <w:pStyle w:val="5"/>
      <w:lvlText w:val=""/>
      <w:lvlJc w:val="left"/>
      <w:pPr>
        <w:tabs>
          <w:tab w:val="left" w:pos="360"/>
        </w:tabs>
        <w:ind w:left="36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6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2"/>
      <w:szCs w:val="22"/>
      <w:lang w:val="en-US" w:eastAsia="en-US"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000000"/>
      <w:sz w:val="28"/>
      <w:szCs w:val="28"/>
    </w:rPr>
  </w:style>
  <w:style w:type="paragraph" w:styleId="3">
    <w:name w:val="heading 2"/>
    <w:basedOn w:val="1"/>
    <w:next w:val="1"/>
    <w:unhideWhenUsed/>
    <w:qFormat/>
    <w:uiPriority w:val="9"/>
    <w:pPr>
      <w:keepNext/>
      <w:keepLines/>
      <w:spacing w:before="200" w:after="0"/>
      <w:outlineLvl w:val="1"/>
    </w:pPr>
    <w:rPr>
      <w:rFonts w:asciiTheme="majorHAnsi" w:hAnsiTheme="majorHAnsi" w:eastAsiaTheme="majorEastAsia" w:cstheme="majorBidi"/>
      <w:b/>
      <w:bCs/>
      <w:color w:val="000000"/>
      <w:sz w:val="26"/>
      <w:szCs w:val="26"/>
    </w:rPr>
  </w:style>
  <w:style w:type="paragraph" w:styleId="4">
    <w:name w:val="heading 3"/>
    <w:basedOn w:val="1"/>
    <w:next w:val="1"/>
    <w:unhideWhenUsed/>
    <w:qFormat/>
    <w:uiPriority w:val="9"/>
    <w:pPr>
      <w:keepNext/>
      <w:keepLines/>
      <w:spacing w:before="200" w:after="0"/>
      <w:outlineLvl w:val="2"/>
    </w:pPr>
    <w:rPr>
      <w:rFonts w:asciiTheme="majorHAnsi" w:hAnsiTheme="majorHAnsi" w:eastAsiaTheme="majorEastAsia" w:cstheme="majorBidi"/>
      <w:b/>
      <w:bCs/>
      <w:color w:val="000000"/>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List Bullet"/>
    <w:basedOn w:val="1"/>
    <w:uiPriority w:val="0"/>
    <w:pPr>
      <w:numPr>
        <w:ilvl w:val="0"/>
        <w:numId w:val="1"/>
      </w:numPr>
    </w:pPr>
  </w:style>
  <w:style w:type="table" w:styleId="7">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2026-07-18T09:28:16Z</dcterms:created>
  <dc:creator>34732</dc:creator>
  <cp:lastModifiedBy>乔治</cp:lastModifiedBy>
  <dcterms:modified xsi:type="dcterms:W3CDTF">2026-07-18T09:28:30Z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eyJoZGlkIjoiYWU3NDRlMzg3ODFiYWFkYjEyN2EyNzdlNWE0ZTFlNjkiLCJ1c2VySWQiOiI1NzQyNjUwMzAifQ==</vt:lpwstr>
  </property>
  <property fmtid="{D5CDD505-2E9C-101B-9397-08002B2CF9AE}" pid="4" name="ICV">
    <vt:lpwstr>330C442F33374AC2994EE93393330CB2_12</vt:lpwstr>
  </property>
</Properties>
</file>