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5AE6BD">
      <w:pPr>
        <w:pStyle w:val="2"/>
        <w:keepNext/>
        <w:spacing w:before="200" w:after="80"/>
      </w:pPr>
      <w:bookmarkStart w:id="0" w:name="_GoBack"/>
      <w:bookmarkEnd w:id="0"/>
      <w:r>
        <w:rPr>
          <w:rFonts w:ascii="Times New Roman" w:hAnsi="Times New Roman" w:eastAsia="Times New Roman"/>
          <w:b/>
          <w:sz w:val="30"/>
        </w:rPr>
        <w:t>Additional File 3: Supplementary Statistical and Qualitative Materials</w:t>
      </w:r>
    </w:p>
    <w:p w14:paraId="4F294CA0"/>
    <w:p w14:paraId="5B560023">
      <w:pPr>
        <w:pStyle w:val="3"/>
        <w:keepNext/>
        <w:spacing w:before="120" w:after="80"/>
      </w:pPr>
      <w:r>
        <w:rPr>
          <w:rFonts w:ascii="Times New Roman" w:hAnsi="Times New Roman" w:eastAsia="Times New Roman"/>
          <w:b/>
          <w:sz w:val="26"/>
        </w:rPr>
        <w:t>Table S1. Study Components and Data Sources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1"/>
        <w:gridCol w:w="3558"/>
        <w:gridCol w:w="3161"/>
        <w:gridCol w:w="2366"/>
      </w:tblGrid>
      <w:tr w14:paraId="4E64A2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1008" w:type="dxa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61338D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7"/>
              </w:rPr>
              <w:t>Component</w:t>
            </w:r>
          </w:p>
        </w:tc>
        <w:tc>
          <w:tcPr>
            <w:tcW w:w="3744" w:type="dxa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619618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7"/>
              </w:rPr>
              <w:t>Sample/data</w:t>
            </w:r>
          </w:p>
        </w:tc>
        <w:tc>
          <w:tcPr>
            <w:tcW w:w="3312" w:type="dxa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89182E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7"/>
              </w:rPr>
              <w:t>Purpose</w:t>
            </w:r>
          </w:p>
        </w:tc>
        <w:tc>
          <w:tcPr>
            <w:tcW w:w="2448" w:type="dxa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C318BD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7"/>
              </w:rPr>
              <w:t>Output</w:t>
            </w:r>
          </w:p>
        </w:tc>
      </w:tr>
      <w:tr w14:paraId="68120A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8" w:type="dxa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3B92ACF2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  <w:t>Study 1</w:t>
            </w:r>
          </w:p>
        </w:tc>
        <w:tc>
          <w:tcPr>
            <w:tcW w:w="3744" w:type="dxa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1263A2B6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  <w:t>Semi-structured interviews with farmers, veterinarians, veterinary-drug sellers, regulators, and buyers</w:t>
            </w:r>
          </w:p>
        </w:tc>
        <w:tc>
          <w:tcPr>
            <w:tcW w:w="3312" w:type="dxa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07780AA0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  <w:t>Identify mechanisms, refine measures, and contextualize burden and trust</w:t>
            </w:r>
          </w:p>
        </w:tc>
        <w:tc>
          <w:tcPr>
            <w:tcW w:w="2448" w:type="dxa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176125CE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  <w:t>Thematic mechanism categories and instrument refinement</w:t>
            </w:r>
          </w:p>
        </w:tc>
      </w:tr>
      <w:tr w14:paraId="581225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8" w:type="dxa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7AA112FE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  <w:t>Study 2</w:t>
            </w:r>
          </w:p>
        </w:tc>
        <w:tc>
          <w:tcPr>
            <w:tcW w:w="3744" w:type="dxa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12E82819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  <w:t>Final analytic survey sample: N = 3,647 producers from eight provinces</w:t>
            </w:r>
          </w:p>
        </w:tc>
        <w:tc>
          <w:tcPr>
            <w:tcW w:w="3312" w:type="dxa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322D6A34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  <w:t>Test the measurement model and moderated-mediation framework</w:t>
            </w:r>
          </w:p>
        </w:tc>
        <w:tc>
          <w:tcPr>
            <w:tcW w:w="2448" w:type="dxa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799D7057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  <w:t>CFA, reliability, HTMT, and multilevel SEM</w:t>
            </w:r>
          </w:p>
        </w:tc>
      </w:tr>
      <w:tr w14:paraId="4E8C45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8" w:type="dxa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1D4ABF9D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  <w:t>Study 3</w:t>
            </w:r>
          </w:p>
        </w:tc>
        <w:tc>
          <w:tcPr>
            <w:tcW w:w="3744" w:type="dxa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64671015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  <w:t>Embedded randomized 2 × 2 × 2 vignette experiment; balanced cells n = 450–462</w:t>
            </w:r>
          </w:p>
        </w:tc>
        <w:tc>
          <w:tcPr>
            <w:tcW w:w="3312" w:type="dxa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61F1C2FC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  <w:t>Estimate effects of risk framing, regulatory framing, and veterinary support on immediate intentions</w:t>
            </w:r>
          </w:p>
        </w:tc>
        <w:tc>
          <w:tcPr>
            <w:tcW w:w="2448" w:type="dxa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55A5B25B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  <w:t>Treatment effects, interactions, and manipulation checks</w:t>
            </w:r>
          </w:p>
        </w:tc>
      </w:tr>
      <w:tr w14:paraId="73C5F9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8" w:type="dxa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19A3FFD3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  <w:t>Study 4</w:t>
            </w:r>
          </w:p>
        </w:tc>
        <w:tc>
          <w:tcPr>
            <w:tcW w:w="3744" w:type="dxa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599F4779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  <w:t>Behavioral-validation subsample: n = 412</w:t>
            </w:r>
          </w:p>
        </w:tc>
        <w:tc>
          <w:tcPr>
            <w:tcW w:w="3312" w:type="dxa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24FC76E6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  <w:t>Assess self-report credibility using anonymized records</w:t>
            </w:r>
          </w:p>
        </w:tc>
        <w:tc>
          <w:tcPr>
            <w:tcW w:w="2448" w:type="dxa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3E033DD9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  <w:t>Record-supported correlations and validation-weighted checks</w:t>
            </w:r>
          </w:p>
        </w:tc>
      </w:tr>
    </w:tbl>
    <w:p w14:paraId="25C94978"/>
    <w:p w14:paraId="76FFF858">
      <w:pPr>
        <w:pStyle w:val="3"/>
        <w:keepNext/>
        <w:spacing w:before="120" w:after="80"/>
      </w:pPr>
      <w:r>
        <w:rPr>
          <w:rFonts w:ascii="Times New Roman" w:hAnsi="Times New Roman" w:eastAsia="Times New Roman"/>
          <w:b/>
          <w:sz w:val="26"/>
        </w:rPr>
        <w:t>Table S2. Sample Composition and Fieldwork Summary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66"/>
        <w:gridCol w:w="7030"/>
      </w:tblGrid>
      <w:tr w14:paraId="304444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3168" w:type="dxa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C85E6F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8"/>
              </w:rPr>
              <w:t>Characteristic</w:t>
            </w:r>
          </w:p>
        </w:tc>
        <w:tc>
          <w:tcPr>
            <w:tcW w:w="7344" w:type="dxa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7760B8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8"/>
              </w:rPr>
              <w:t>Reported information</w:t>
            </w:r>
          </w:p>
        </w:tc>
      </w:tr>
      <w:tr w14:paraId="5F2D0C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8" w:type="dxa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52417C4D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18"/>
              </w:rPr>
              <w:t>Fieldwork period</w:t>
            </w:r>
          </w:p>
        </w:tc>
        <w:tc>
          <w:tcPr>
            <w:tcW w:w="7344" w:type="dxa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2A9B3E0F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18"/>
              </w:rPr>
              <w:t>March–September 2025</w:t>
            </w:r>
          </w:p>
        </w:tc>
      </w:tr>
      <w:tr w14:paraId="1BEE4E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8" w:type="dxa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6C8503A1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18"/>
              </w:rPr>
              <w:t>Provinces</w:t>
            </w:r>
          </w:p>
        </w:tc>
        <w:tc>
          <w:tcPr>
            <w:tcW w:w="7344" w:type="dxa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20EA6B72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18"/>
              </w:rPr>
              <w:t>Shandong, Henan, Sichuan, Guangdong, Heilongjiang, Jiangsu, Hunan, and Yunnan</w:t>
            </w:r>
          </w:p>
        </w:tc>
      </w:tr>
      <w:tr w14:paraId="69B7E3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8" w:type="dxa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6C9E6117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18"/>
              </w:rPr>
              <w:t>Invited</w:t>
            </w:r>
          </w:p>
        </w:tc>
        <w:tc>
          <w:tcPr>
            <w:tcW w:w="7344" w:type="dxa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5EB15287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18"/>
              </w:rPr>
              <w:t>4,872 producers</w:t>
            </w:r>
          </w:p>
        </w:tc>
      </w:tr>
      <w:tr w14:paraId="0C3898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8" w:type="dxa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00C31FC9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18"/>
              </w:rPr>
              <w:t>Completed survey</w:t>
            </w:r>
          </w:p>
        </w:tc>
        <w:tc>
          <w:tcPr>
            <w:tcW w:w="7344" w:type="dxa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6D3735C2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18"/>
              </w:rPr>
              <w:t>3,814 producers</w:t>
            </w:r>
          </w:p>
        </w:tc>
      </w:tr>
      <w:tr w14:paraId="0BEEFE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8" w:type="dxa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0ADD676C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18"/>
              </w:rPr>
              <w:t>Completion rate</w:t>
            </w:r>
          </w:p>
        </w:tc>
        <w:tc>
          <w:tcPr>
            <w:tcW w:w="7344" w:type="dxa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5FF9693A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18"/>
              </w:rPr>
              <w:t>78.3%</w:t>
            </w:r>
          </w:p>
        </w:tc>
      </w:tr>
      <w:tr w14:paraId="3A4C68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8" w:type="dxa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70A99326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18"/>
              </w:rPr>
              <w:t>Final analytic sample</w:t>
            </w:r>
          </w:p>
        </w:tc>
        <w:tc>
          <w:tcPr>
            <w:tcW w:w="7344" w:type="dxa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6251187E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18"/>
              </w:rPr>
              <w:t>3,647 producers</w:t>
            </w:r>
          </w:p>
        </w:tc>
      </w:tr>
      <w:tr w14:paraId="3C980E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8" w:type="dxa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5CF53AC0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18"/>
              </w:rPr>
              <w:t>Production systems</w:t>
            </w:r>
          </w:p>
        </w:tc>
        <w:tc>
          <w:tcPr>
            <w:tcW w:w="7344" w:type="dxa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0F483DDA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18"/>
              </w:rPr>
              <w:t>Swine 38%; poultry 34%; aquaculture 12%; ruminant 16%</w:t>
            </w:r>
          </w:p>
        </w:tc>
      </w:tr>
      <w:tr w14:paraId="0D9FCC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8" w:type="dxa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73CE51B8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18"/>
              </w:rPr>
              <w:t>Farm scale</w:t>
            </w:r>
          </w:p>
        </w:tc>
        <w:tc>
          <w:tcPr>
            <w:tcW w:w="7344" w:type="dxa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6F3B7C48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18"/>
              </w:rPr>
              <w:t>Small 39%; medium 43%; large 18%</w:t>
            </w:r>
          </w:p>
        </w:tc>
      </w:tr>
      <w:tr w14:paraId="0732A2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8" w:type="dxa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7B1F663F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18"/>
              </w:rPr>
              <w:t>Interpretation</w:t>
            </w:r>
          </w:p>
        </w:tc>
        <w:tc>
          <w:tcPr>
            <w:tcW w:w="7344" w:type="dxa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2F48C062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18"/>
              </w:rPr>
              <w:t>Broad multi-regional producer sample; not a nationally representative probability sample</w:t>
            </w:r>
          </w:p>
        </w:tc>
      </w:tr>
    </w:tbl>
    <w:p w14:paraId="77E38908"/>
    <w:p w14:paraId="3266B84F">
      <w:pPr>
        <w:pStyle w:val="3"/>
        <w:keepNext/>
        <w:spacing w:before="120" w:after="80"/>
      </w:pPr>
      <w:r>
        <w:rPr>
          <w:rFonts w:ascii="Times New Roman" w:hAnsi="Times New Roman" w:eastAsia="Times New Roman"/>
          <w:b/>
          <w:sz w:val="26"/>
        </w:rPr>
        <w:t>Table S3. Predefined Quality Exclusions and Missingness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61"/>
        <w:gridCol w:w="5935"/>
      </w:tblGrid>
      <w:tr w14:paraId="26A6B0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4320" w:type="dxa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49337F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8"/>
              </w:rPr>
              <w:t>Quality indicator</w:t>
            </w:r>
          </w:p>
        </w:tc>
        <w:tc>
          <w:tcPr>
            <w:tcW w:w="6192" w:type="dxa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DA0D28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8"/>
              </w:rPr>
              <w:t>Value/method</w:t>
            </w:r>
          </w:p>
        </w:tc>
      </w:tr>
      <w:tr w14:paraId="569773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20" w:type="dxa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13C93A67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18"/>
              </w:rPr>
              <w:t>Attention-check failures</w:t>
            </w:r>
          </w:p>
        </w:tc>
        <w:tc>
          <w:tcPr>
            <w:tcW w:w="6192" w:type="dxa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2F38DA76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18"/>
              </w:rPr>
              <w:t>89</w:t>
            </w:r>
          </w:p>
        </w:tc>
      </w:tr>
      <w:tr w14:paraId="05E82A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20" w:type="dxa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39B21891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18"/>
              </w:rPr>
              <w:t>Duplicate responses</w:t>
            </w:r>
          </w:p>
        </w:tc>
        <w:tc>
          <w:tcPr>
            <w:tcW w:w="6192" w:type="dxa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42BFA824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18"/>
              </w:rPr>
              <w:t>27</w:t>
            </w:r>
          </w:p>
        </w:tc>
      </w:tr>
      <w:tr w14:paraId="419DEA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20" w:type="dxa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24426B32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18"/>
              </w:rPr>
              <w:t>Completion time below five minutes</w:t>
            </w:r>
          </w:p>
        </w:tc>
        <w:tc>
          <w:tcPr>
            <w:tcW w:w="6192" w:type="dxa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42ED7893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18"/>
              </w:rPr>
              <w:t>31</w:t>
            </w:r>
          </w:p>
        </w:tc>
      </w:tr>
      <w:tr w14:paraId="1F7AA0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20" w:type="dxa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63123661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18"/>
              </w:rPr>
              <w:t>Straight-lining</w:t>
            </w:r>
          </w:p>
        </w:tc>
        <w:tc>
          <w:tcPr>
            <w:tcW w:w="6192" w:type="dxa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104930FD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18"/>
              </w:rPr>
              <w:t>20</w:t>
            </w:r>
          </w:p>
        </w:tc>
      </w:tr>
      <w:tr w14:paraId="387E83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20" w:type="dxa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30DC30B7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18"/>
              </w:rPr>
              <w:t>Total exclusions after completion</w:t>
            </w:r>
          </w:p>
        </w:tc>
        <w:tc>
          <w:tcPr>
            <w:tcW w:w="6192" w:type="dxa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33057B81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18"/>
              </w:rPr>
              <w:t>167</w:t>
            </w:r>
          </w:p>
        </w:tc>
      </w:tr>
      <w:tr w14:paraId="57F237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20" w:type="dxa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07FFC97F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18"/>
              </w:rPr>
              <w:t>Item-level missingness</w:t>
            </w:r>
          </w:p>
        </w:tc>
        <w:tc>
          <w:tcPr>
            <w:tcW w:w="6192" w:type="dxa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5692267C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18"/>
              </w:rPr>
              <w:t>0.3%–4.1%</w:t>
            </w:r>
          </w:p>
        </w:tc>
      </w:tr>
      <w:tr w14:paraId="6BB121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20" w:type="dxa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145AB4C0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18"/>
              </w:rPr>
              <w:t>Maximum scale-level missingness</w:t>
            </w:r>
          </w:p>
        </w:tc>
        <w:tc>
          <w:tcPr>
            <w:tcW w:w="6192" w:type="dxa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0ADCA637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18"/>
              </w:rPr>
              <w:t>5.2%</w:t>
            </w:r>
          </w:p>
        </w:tc>
      </w:tr>
      <w:tr w14:paraId="688E11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20" w:type="dxa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70C89332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18"/>
              </w:rPr>
              <w:t>Primary missing-data method</w:t>
            </w:r>
          </w:p>
        </w:tc>
        <w:tc>
          <w:tcPr>
            <w:tcW w:w="6192" w:type="dxa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5C5D653C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18"/>
              </w:rPr>
              <w:t>Full-information maximum likelihood</w:t>
            </w:r>
          </w:p>
        </w:tc>
      </w:tr>
      <w:tr w14:paraId="6295E9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20" w:type="dxa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4AEC6BE5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18"/>
              </w:rPr>
              <w:t>Sensitivity analysis</w:t>
            </w:r>
          </w:p>
        </w:tc>
        <w:tc>
          <w:tcPr>
            <w:tcW w:w="6192" w:type="dxa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49F81806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18"/>
              </w:rPr>
              <w:t>Multiple imputation</w:t>
            </w:r>
          </w:p>
        </w:tc>
      </w:tr>
    </w:tbl>
    <w:p w14:paraId="15A1D0E1"/>
    <w:p w14:paraId="2CFEFF29">
      <w:pPr>
        <w:pStyle w:val="3"/>
        <w:keepNext/>
        <w:spacing w:before="120" w:after="80"/>
      </w:pPr>
      <w:r>
        <w:rPr>
          <w:rFonts w:ascii="Times New Roman" w:hAnsi="Times New Roman" w:eastAsia="Times New Roman"/>
          <w:b/>
          <w:sz w:val="26"/>
        </w:rPr>
        <w:t>Table S4. Measurement-Model Summary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13"/>
        <w:gridCol w:w="6483"/>
      </w:tblGrid>
      <w:tr w14:paraId="4FDA54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3744" w:type="dxa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B88735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8"/>
              </w:rPr>
              <w:t>Diagnostic</w:t>
            </w:r>
          </w:p>
        </w:tc>
        <w:tc>
          <w:tcPr>
            <w:tcW w:w="6768" w:type="dxa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D9D6FE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8"/>
              </w:rPr>
              <w:t>Reported result</w:t>
            </w:r>
          </w:p>
        </w:tc>
      </w:tr>
      <w:tr w14:paraId="6092BF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44" w:type="dxa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3F8480D2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18"/>
              </w:rPr>
              <w:t>Model fit</w:t>
            </w:r>
          </w:p>
        </w:tc>
        <w:tc>
          <w:tcPr>
            <w:tcW w:w="6768" w:type="dxa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0A866235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18"/>
              </w:rPr>
              <w:t>χ²(284) = 1,243.7; CFI = 0.952; TLI = 0.944; RMSEA = 0.048, 90% CI [0.045, 0.051]; SRMR = 0.039</w:t>
            </w:r>
          </w:p>
        </w:tc>
      </w:tr>
      <w:tr w14:paraId="0E76AE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44" w:type="dxa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398C861E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18"/>
              </w:rPr>
              <w:t>Standardized factor loadings</w:t>
            </w:r>
          </w:p>
        </w:tc>
        <w:tc>
          <w:tcPr>
            <w:tcW w:w="6768" w:type="dxa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142A9E53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18"/>
              </w:rPr>
              <w:t>&gt;0.55</w:t>
            </w:r>
          </w:p>
        </w:tc>
      </w:tr>
      <w:tr w14:paraId="0AFC2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44" w:type="dxa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44CBDFE0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18"/>
              </w:rPr>
              <w:t>Cronbach’s alpha</w:t>
            </w:r>
          </w:p>
        </w:tc>
        <w:tc>
          <w:tcPr>
            <w:tcW w:w="6768" w:type="dxa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1629724F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18"/>
              </w:rPr>
              <w:t>0.78–0.89</w:t>
            </w:r>
          </w:p>
        </w:tc>
      </w:tr>
      <w:tr w14:paraId="25A3F8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44" w:type="dxa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213B0BA5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18"/>
              </w:rPr>
              <w:t>Composite reliability</w:t>
            </w:r>
          </w:p>
        </w:tc>
        <w:tc>
          <w:tcPr>
            <w:tcW w:w="6768" w:type="dxa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0B9B0BEE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18"/>
              </w:rPr>
              <w:t>0.79–0.91</w:t>
            </w:r>
          </w:p>
        </w:tc>
      </w:tr>
      <w:tr w14:paraId="023522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44" w:type="dxa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4A95A3BE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18"/>
              </w:rPr>
              <w:t>Average variance extracted</w:t>
            </w:r>
          </w:p>
        </w:tc>
        <w:tc>
          <w:tcPr>
            <w:tcW w:w="6768" w:type="dxa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3F8586EA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18"/>
              </w:rPr>
              <w:t>0.50–0.63</w:t>
            </w:r>
          </w:p>
        </w:tc>
      </w:tr>
      <w:tr w14:paraId="303D77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44" w:type="dxa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591E0FF1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18"/>
              </w:rPr>
              <w:t>HTMT</w:t>
            </w:r>
          </w:p>
        </w:tc>
        <w:tc>
          <w:tcPr>
            <w:tcW w:w="6768" w:type="dxa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21BB9683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18"/>
              </w:rPr>
              <w:t>&lt;0.85</w:t>
            </w:r>
          </w:p>
        </w:tc>
      </w:tr>
      <w:tr w14:paraId="3530B1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44" w:type="dxa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0DC4EED0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18"/>
              </w:rPr>
              <w:t>Farm-scale invariance</w:t>
            </w:r>
          </w:p>
        </w:tc>
        <w:tc>
          <w:tcPr>
            <w:tcW w:w="6768" w:type="dxa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57668FAB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18"/>
              </w:rPr>
              <w:t>Configural and metric invariance supported</w:t>
            </w:r>
          </w:p>
        </w:tc>
      </w:tr>
      <w:tr w14:paraId="61116A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44" w:type="dxa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5879592D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18"/>
              </w:rPr>
              <w:t>Scale distributions</w:t>
            </w:r>
          </w:p>
        </w:tc>
        <w:tc>
          <w:tcPr>
            <w:tcW w:w="6768" w:type="dxa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34A9D5FA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18"/>
              </w:rPr>
              <w:t>Means 3.8–5.9; standard deviations 1.3–1.9 on seven-point scales</w:t>
            </w:r>
          </w:p>
        </w:tc>
      </w:tr>
    </w:tbl>
    <w:p w14:paraId="55A91CC3"/>
    <w:p w14:paraId="7C916EF3">
      <w:r>
        <w:br w:type="page"/>
      </w:r>
    </w:p>
    <w:p w14:paraId="347FBD07">
      <w:pPr>
        <w:pStyle w:val="3"/>
        <w:keepNext/>
        <w:spacing w:before="120" w:after="80"/>
      </w:pPr>
      <w:r>
        <w:rPr>
          <w:rFonts w:ascii="Times New Roman" w:hAnsi="Times New Roman" w:eastAsia="Times New Roman"/>
          <w:b/>
          <w:sz w:val="26"/>
        </w:rPr>
        <w:t>Table S5. Core Structural Results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0"/>
        <w:gridCol w:w="864"/>
        <w:gridCol w:w="864"/>
        <w:gridCol w:w="2160"/>
        <w:gridCol w:w="1080"/>
      </w:tblGrid>
      <w:tr w14:paraId="4312C4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blHeader/>
          <w:jc w:val="center"/>
        </w:trPr>
        <w:tc>
          <w:tcPr>
            <w:tcW w:w="4680" w:type="dxa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97BF56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7"/>
              </w:rPr>
              <w:t>Path/estimate</w:t>
            </w:r>
          </w:p>
        </w:tc>
        <w:tc>
          <w:tcPr>
            <w:tcW w:w="864" w:type="dxa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C92577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7"/>
              </w:rPr>
              <w:t>β</w:t>
            </w:r>
          </w:p>
        </w:tc>
        <w:tc>
          <w:tcPr>
            <w:tcW w:w="864" w:type="dxa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9E3CEA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7"/>
              </w:rPr>
              <w:t>SE</w:t>
            </w:r>
          </w:p>
        </w:tc>
        <w:tc>
          <w:tcPr>
            <w:tcW w:w="2160" w:type="dxa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110A95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7"/>
              </w:rPr>
              <w:t>95% CI</w:t>
            </w:r>
          </w:p>
        </w:tc>
        <w:tc>
          <w:tcPr>
            <w:tcW w:w="1080" w:type="dxa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BFA5F4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7"/>
              </w:rPr>
              <w:t>p</w:t>
            </w:r>
          </w:p>
        </w:tc>
      </w:tr>
      <w:tr w14:paraId="3A6A14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80" w:type="dxa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15B39DB8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  <w:t>AMR risk awareness → One Health responsibility</w:t>
            </w:r>
          </w:p>
        </w:tc>
        <w:tc>
          <w:tcPr>
            <w:tcW w:w="864" w:type="dxa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45955862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  <w:t>0.42</w:t>
            </w:r>
          </w:p>
        </w:tc>
        <w:tc>
          <w:tcPr>
            <w:tcW w:w="864" w:type="dxa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1A48AF3C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  <w:t>0.03</w:t>
            </w:r>
          </w:p>
        </w:tc>
        <w:tc>
          <w:tcPr>
            <w:tcW w:w="2160" w:type="dxa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16B2261B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  <w:t>[0.36, 0.48]</w:t>
            </w:r>
          </w:p>
        </w:tc>
        <w:tc>
          <w:tcPr>
            <w:tcW w:w="1080" w:type="dxa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561C0C4F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  <w:t>&lt;0.001</w:t>
            </w:r>
          </w:p>
        </w:tc>
      </w:tr>
      <w:tr w14:paraId="4378AF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80" w:type="dxa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5F1D2B79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  <w:t>AMR risk awareness → compliance</w:t>
            </w:r>
          </w:p>
        </w:tc>
        <w:tc>
          <w:tcPr>
            <w:tcW w:w="864" w:type="dxa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682FF64E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  <w:t>0.16</w:t>
            </w:r>
          </w:p>
        </w:tc>
        <w:tc>
          <w:tcPr>
            <w:tcW w:w="864" w:type="dxa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1B027319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  <w:t>0.04</w:t>
            </w:r>
          </w:p>
        </w:tc>
        <w:tc>
          <w:tcPr>
            <w:tcW w:w="2160" w:type="dxa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2D3EA0D5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  <w:t>[0.08, 0.24]</w:t>
            </w:r>
          </w:p>
        </w:tc>
        <w:tc>
          <w:tcPr>
            <w:tcW w:w="1080" w:type="dxa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2518391C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  <w:t>&lt;0.001</w:t>
            </w:r>
          </w:p>
        </w:tc>
      </w:tr>
      <w:tr w14:paraId="65E5D6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80" w:type="dxa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257D4D9D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  <w:t>One Health responsibility → compliance</w:t>
            </w:r>
          </w:p>
        </w:tc>
        <w:tc>
          <w:tcPr>
            <w:tcW w:w="864" w:type="dxa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55CAAE83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  <w:t>0.48</w:t>
            </w:r>
          </w:p>
        </w:tc>
        <w:tc>
          <w:tcPr>
            <w:tcW w:w="864" w:type="dxa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4488D1E3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  <w:t>0.03</w:t>
            </w:r>
          </w:p>
        </w:tc>
        <w:tc>
          <w:tcPr>
            <w:tcW w:w="2160" w:type="dxa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6229E54C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  <w:t>[0.42, 0.54]</w:t>
            </w:r>
          </w:p>
        </w:tc>
        <w:tc>
          <w:tcPr>
            <w:tcW w:w="1080" w:type="dxa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7DB97CE3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  <w:t>&lt;0.001</w:t>
            </w:r>
          </w:p>
        </w:tc>
      </w:tr>
      <w:tr w14:paraId="0031A5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80" w:type="dxa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3F9B568C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  <w:t>Indirect association through responsibility</w:t>
            </w:r>
          </w:p>
        </w:tc>
        <w:tc>
          <w:tcPr>
            <w:tcW w:w="864" w:type="dxa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29413E63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  <w:t>0.20</w:t>
            </w:r>
          </w:p>
        </w:tc>
        <w:tc>
          <w:tcPr>
            <w:tcW w:w="864" w:type="dxa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63C9F719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  <w:t>0.02</w:t>
            </w:r>
          </w:p>
        </w:tc>
        <w:tc>
          <w:tcPr>
            <w:tcW w:w="2160" w:type="dxa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64B3F154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  <w:t>[0.16, 0.24]</w:t>
            </w:r>
          </w:p>
        </w:tc>
        <w:tc>
          <w:tcPr>
            <w:tcW w:w="1080" w:type="dxa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3EDA6B4A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  <w:t>&lt;0.001</w:t>
            </w:r>
          </w:p>
        </w:tc>
      </w:tr>
      <w:tr w14:paraId="11657A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80" w:type="dxa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3D7389F6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  <w:t>Responsibility × regulatory trust</w:t>
            </w:r>
          </w:p>
        </w:tc>
        <w:tc>
          <w:tcPr>
            <w:tcW w:w="864" w:type="dxa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009AEEFF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  <w:t>0.14</w:t>
            </w:r>
          </w:p>
        </w:tc>
        <w:tc>
          <w:tcPr>
            <w:tcW w:w="864" w:type="dxa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0F46E082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  <w:t>0.03</w:t>
            </w:r>
          </w:p>
        </w:tc>
        <w:tc>
          <w:tcPr>
            <w:tcW w:w="2160" w:type="dxa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38C3049B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  <w:t>[0.08, 0.20]</w:t>
            </w:r>
          </w:p>
        </w:tc>
        <w:tc>
          <w:tcPr>
            <w:tcW w:w="1080" w:type="dxa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4FAE711B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  <w:t>&lt;0.001</w:t>
            </w:r>
          </w:p>
        </w:tc>
      </w:tr>
      <w:tr w14:paraId="5B4FAC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80" w:type="dxa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7A5EF895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  <w:t>Responsibility × veterinary trust</w:t>
            </w:r>
          </w:p>
        </w:tc>
        <w:tc>
          <w:tcPr>
            <w:tcW w:w="864" w:type="dxa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21017E93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  <w:t>0.18</w:t>
            </w:r>
          </w:p>
        </w:tc>
        <w:tc>
          <w:tcPr>
            <w:tcW w:w="864" w:type="dxa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4CA8E976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  <w:t>0.03</w:t>
            </w:r>
          </w:p>
        </w:tc>
        <w:tc>
          <w:tcPr>
            <w:tcW w:w="2160" w:type="dxa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5D72981C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  <w:t>[0.12, 0.24]</w:t>
            </w:r>
          </w:p>
        </w:tc>
        <w:tc>
          <w:tcPr>
            <w:tcW w:w="1080" w:type="dxa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156E17C8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  <w:t>&lt;0.001</w:t>
            </w:r>
          </w:p>
        </w:tc>
      </w:tr>
      <w:tr w14:paraId="511215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80" w:type="dxa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5A6CF4CF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  <w:t>Responsibility × administrative burden</w:t>
            </w:r>
          </w:p>
        </w:tc>
        <w:tc>
          <w:tcPr>
            <w:tcW w:w="864" w:type="dxa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3CD5FCFA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  <w:t>−0.21</w:t>
            </w:r>
          </w:p>
        </w:tc>
        <w:tc>
          <w:tcPr>
            <w:tcW w:w="864" w:type="dxa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20E5401D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  <w:t>0.03</w:t>
            </w:r>
          </w:p>
        </w:tc>
        <w:tc>
          <w:tcPr>
            <w:tcW w:w="2160" w:type="dxa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419118B8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  <w:t>[−0.27, −0.15]</w:t>
            </w:r>
          </w:p>
        </w:tc>
        <w:tc>
          <w:tcPr>
            <w:tcW w:w="1080" w:type="dxa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5583CB69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  <w:t>&lt;0.001</w:t>
            </w:r>
          </w:p>
        </w:tc>
      </w:tr>
    </w:tbl>
    <w:p w14:paraId="587122F4"/>
    <w:p w14:paraId="69884B65">
      <w:pPr>
        <w:pStyle w:val="3"/>
        <w:keepNext/>
        <w:spacing w:before="120" w:after="80"/>
      </w:pPr>
      <w:r>
        <w:rPr>
          <w:rFonts w:ascii="Times New Roman" w:hAnsi="Times New Roman" w:eastAsia="Times New Roman"/>
          <w:b/>
          <w:sz w:val="26"/>
        </w:rPr>
        <w:t>Table S6. Simple-Slope and Conditional-Effect Summary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19"/>
        <w:gridCol w:w="3477"/>
      </w:tblGrid>
      <w:tr w14:paraId="6FC13A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6912" w:type="dxa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1F7BD4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8"/>
              </w:rPr>
              <w:t>Conditional estimate</w:t>
            </w:r>
          </w:p>
        </w:tc>
        <w:tc>
          <w:tcPr>
            <w:tcW w:w="3600" w:type="dxa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936CFE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8"/>
              </w:rPr>
              <w:t>Reported result</w:t>
            </w:r>
          </w:p>
        </w:tc>
      </w:tr>
      <w:tr w14:paraId="308955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12" w:type="dxa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6DD060EB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18"/>
              </w:rPr>
              <w:t>Responsibility → compliance at high regulatory trust (+1 SD)</w:t>
            </w:r>
          </w:p>
        </w:tc>
        <w:tc>
          <w:tcPr>
            <w:tcW w:w="3600" w:type="dxa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6E99E208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18"/>
              </w:rPr>
              <w:t>β = 0.56</w:t>
            </w:r>
          </w:p>
        </w:tc>
      </w:tr>
      <w:tr w14:paraId="2D26F6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12" w:type="dxa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0299694A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18"/>
              </w:rPr>
              <w:t>Responsibility → compliance at low regulatory trust (−1 SD)</w:t>
            </w:r>
          </w:p>
        </w:tc>
        <w:tc>
          <w:tcPr>
            <w:tcW w:w="3600" w:type="dxa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75FC3D29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18"/>
              </w:rPr>
              <w:t>β = 0.32</w:t>
            </w:r>
          </w:p>
        </w:tc>
      </w:tr>
      <w:tr w14:paraId="5C3DCB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12" w:type="dxa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140BBCC6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18"/>
              </w:rPr>
              <w:t>Responsibility → compliance at high administrative burden</w:t>
            </w:r>
          </w:p>
        </w:tc>
        <w:tc>
          <w:tcPr>
            <w:tcW w:w="3600" w:type="dxa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0C2624F4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18"/>
              </w:rPr>
              <w:t>β = 0.28</w:t>
            </w:r>
          </w:p>
        </w:tc>
      </w:tr>
      <w:tr w14:paraId="327F7C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12" w:type="dxa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0CB59947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18"/>
              </w:rPr>
              <w:t>Responsibility → compliance at low administrative burden</w:t>
            </w:r>
          </w:p>
        </w:tc>
        <w:tc>
          <w:tcPr>
            <w:tcW w:w="3600" w:type="dxa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26C8DEFE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18"/>
              </w:rPr>
              <w:t>β = 0.62</w:t>
            </w:r>
          </w:p>
        </w:tc>
      </w:tr>
      <w:tr w14:paraId="25D334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12" w:type="dxa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38933305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18"/>
              </w:rPr>
              <w:t>Interpretation</w:t>
            </w:r>
          </w:p>
        </w:tc>
        <w:tc>
          <w:tcPr>
            <w:tcW w:w="3600" w:type="dxa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4DF58F35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18"/>
              </w:rPr>
              <w:t>Trust strengthens, whereas administrative burden weakens, the conversion of responsibility into compliance</w:t>
            </w:r>
          </w:p>
        </w:tc>
      </w:tr>
    </w:tbl>
    <w:p w14:paraId="1DFBDCC4"/>
    <w:p w14:paraId="42A33A01">
      <w:pPr>
        <w:pStyle w:val="3"/>
        <w:keepNext/>
        <w:spacing w:before="120" w:after="80"/>
      </w:pPr>
      <w:r>
        <w:rPr>
          <w:rFonts w:ascii="Times New Roman" w:hAnsi="Times New Roman" w:eastAsia="Times New Roman"/>
          <w:b/>
          <w:sz w:val="26"/>
        </w:rPr>
        <w:t>Table S7. Vignette Experiment Summary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6"/>
        <w:gridCol w:w="3196"/>
        <w:gridCol w:w="4514"/>
      </w:tblGrid>
      <w:tr w14:paraId="7359B1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2448" w:type="dxa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8B0366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7"/>
              </w:rPr>
              <w:t>Evidence</w:t>
            </w:r>
          </w:p>
        </w:tc>
        <w:tc>
          <w:tcPr>
            <w:tcW w:w="3312" w:type="dxa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FF650D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7"/>
              </w:rPr>
              <w:t>Estimate/diagnostic</w:t>
            </w:r>
          </w:p>
        </w:tc>
        <w:tc>
          <w:tcPr>
            <w:tcW w:w="4752" w:type="dxa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FC4483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7"/>
              </w:rPr>
              <w:t>Interpretation</w:t>
            </w:r>
          </w:p>
        </w:tc>
      </w:tr>
      <w:tr w14:paraId="023608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48" w:type="dxa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4BE53059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  <w:t>Cell sizes</w:t>
            </w:r>
          </w:p>
        </w:tc>
        <w:tc>
          <w:tcPr>
            <w:tcW w:w="3312" w:type="dxa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1471982C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  <w:t>n = 450–462 per cell</w:t>
            </w:r>
          </w:p>
        </w:tc>
        <w:tc>
          <w:tcPr>
            <w:tcW w:w="4752" w:type="dxa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1FF3F3F1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  <w:t>Balanced allocation</w:t>
            </w:r>
          </w:p>
        </w:tc>
      </w:tr>
      <w:tr w14:paraId="4FD651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48" w:type="dxa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2DE60642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  <w:t>Pre-treatment balance</w:t>
            </w:r>
          </w:p>
        </w:tc>
        <w:tc>
          <w:tcPr>
            <w:tcW w:w="3312" w:type="dxa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071354F2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  <w:t>All p &gt; 0.20</w:t>
            </w:r>
          </w:p>
        </w:tc>
        <w:tc>
          <w:tcPr>
            <w:tcW w:w="4752" w:type="dxa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70EAB8D9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  <w:t>No statistically significant covariate imbalance</w:t>
            </w:r>
          </w:p>
        </w:tc>
      </w:tr>
      <w:tr w14:paraId="3E55D5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48" w:type="dxa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6CCD5A66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  <w:t>Manipulation-check recall</w:t>
            </w:r>
          </w:p>
        </w:tc>
        <w:tc>
          <w:tcPr>
            <w:tcW w:w="3312" w:type="dxa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43BC1F45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  <w:t>89%</w:t>
            </w:r>
          </w:p>
        </w:tc>
        <w:tc>
          <w:tcPr>
            <w:tcW w:w="4752" w:type="dxa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3E788E3E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  <w:t>Acceptable manipulation strength</w:t>
            </w:r>
          </w:p>
        </w:tc>
      </w:tr>
      <w:tr w14:paraId="745761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48" w:type="dxa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3C5C50D3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  <w:t>One Health frame</w:t>
            </w:r>
          </w:p>
        </w:tc>
        <w:tc>
          <w:tcPr>
            <w:tcW w:w="3312" w:type="dxa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2D7AADEA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  <w:t>β = 0.31; SE = 0.04; p &lt; 0.001</w:t>
            </w:r>
          </w:p>
        </w:tc>
        <w:tc>
          <w:tcPr>
            <w:tcW w:w="4752" w:type="dxa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5F23C851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  <w:t>Higher stated compliance intention than generic AMR risk information</w:t>
            </w:r>
          </w:p>
        </w:tc>
      </w:tr>
      <w:tr w14:paraId="2F6161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48" w:type="dxa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302E749D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  <w:t>Support-oriented regulation</w:t>
            </w:r>
          </w:p>
        </w:tc>
        <w:tc>
          <w:tcPr>
            <w:tcW w:w="3312" w:type="dxa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7489E985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  <w:t>β = 0.24; SE = 0.04; p &lt; 0.001</w:t>
            </w:r>
          </w:p>
        </w:tc>
        <w:tc>
          <w:tcPr>
            <w:tcW w:w="4752" w:type="dxa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11FBA093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  <w:t>Higher intention than punitive-only framing</w:t>
            </w:r>
          </w:p>
        </w:tc>
      </w:tr>
      <w:tr w14:paraId="00678C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48" w:type="dxa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04B387C6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  <w:t>Veterinary support</w:t>
            </w:r>
          </w:p>
        </w:tc>
        <w:tc>
          <w:tcPr>
            <w:tcW w:w="3312" w:type="dxa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782F6C6C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  <w:t>β = 0.22; SE = 0.04; p &lt; 0.001</w:t>
            </w:r>
          </w:p>
        </w:tc>
        <w:tc>
          <w:tcPr>
            <w:tcW w:w="4752" w:type="dxa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3E2AAAB0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  <w:t>Higher intention than no additional support</w:t>
            </w:r>
          </w:p>
        </w:tc>
      </w:tr>
      <w:tr w14:paraId="553228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48" w:type="dxa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787E02B6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  <w:t>Two-way interactions</w:t>
            </w:r>
          </w:p>
        </w:tc>
        <w:tc>
          <w:tcPr>
            <w:tcW w:w="3312" w:type="dxa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098166C1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  <w:t>p &lt; 0.01</w:t>
            </w:r>
          </w:p>
        </w:tc>
        <w:tc>
          <w:tcPr>
            <w:tcW w:w="4752" w:type="dxa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36FE2754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  <w:t>Supports conditional policy logic</w:t>
            </w:r>
          </w:p>
        </w:tc>
      </w:tr>
      <w:tr w14:paraId="46D9D9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48" w:type="dxa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3191D210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  <w:t>Three-way interaction</w:t>
            </w:r>
          </w:p>
        </w:tc>
        <w:tc>
          <w:tcPr>
            <w:tcW w:w="3312" w:type="dxa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7279BEE6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  <w:t>p = 0.08</w:t>
            </w:r>
          </w:p>
        </w:tc>
        <w:tc>
          <w:tcPr>
            <w:tcW w:w="4752" w:type="dxa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3AED9EEE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  <w:t>Marginal; should not be overstated</w:t>
            </w:r>
          </w:p>
        </w:tc>
      </w:tr>
      <w:tr w14:paraId="1B2C4A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48" w:type="dxa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1431C657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  <w:t>Effect sizes</w:t>
            </w:r>
          </w:p>
        </w:tc>
        <w:tc>
          <w:tcPr>
            <w:tcW w:w="3312" w:type="dxa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78DC8C52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  <w:t>Cohen’s d = 0.32–0.45</w:t>
            </w:r>
          </w:p>
        </w:tc>
        <w:tc>
          <w:tcPr>
            <w:tcW w:w="4752" w:type="dxa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6C0D84D8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  <w:t>Moderate vignette-based effects</w:t>
            </w:r>
          </w:p>
        </w:tc>
      </w:tr>
    </w:tbl>
    <w:p w14:paraId="4EE76DD1"/>
    <w:p w14:paraId="7B0090F1">
      <w:pPr>
        <w:pStyle w:val="3"/>
        <w:keepNext/>
        <w:spacing w:before="120" w:after="80"/>
      </w:pPr>
      <w:r>
        <w:rPr>
          <w:rFonts w:ascii="Times New Roman" w:hAnsi="Times New Roman" w:eastAsia="Times New Roman"/>
          <w:b/>
          <w:sz w:val="26"/>
        </w:rPr>
        <w:t>Table S8. Behavioral-Validation Summary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56"/>
        <w:gridCol w:w="2620"/>
        <w:gridCol w:w="4820"/>
      </w:tblGrid>
      <w:tr w14:paraId="353BE1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2736" w:type="dxa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91E4F8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7"/>
              </w:rPr>
              <w:t>Validation component</w:t>
            </w:r>
          </w:p>
        </w:tc>
        <w:tc>
          <w:tcPr>
            <w:tcW w:w="2736" w:type="dxa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2B02A9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7"/>
              </w:rPr>
              <w:t>Result</w:t>
            </w:r>
          </w:p>
        </w:tc>
        <w:tc>
          <w:tcPr>
            <w:tcW w:w="5040" w:type="dxa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024B00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7"/>
              </w:rPr>
              <w:t>Interpretation</w:t>
            </w:r>
          </w:p>
        </w:tc>
      </w:tr>
      <w:tr w14:paraId="0A8219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36" w:type="dxa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722C74CD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  <w:t>Veterinary consultation</w:t>
            </w:r>
          </w:p>
        </w:tc>
        <w:tc>
          <w:tcPr>
            <w:tcW w:w="2736" w:type="dxa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2106282E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  <w:t>r = 0.62; p &lt; 0.001</w:t>
            </w:r>
          </w:p>
        </w:tc>
        <w:tc>
          <w:tcPr>
            <w:tcW w:w="5040" w:type="dxa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38D5A329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  <w:t>Moderate-to-strong agreement between self-report and records</w:t>
            </w:r>
          </w:p>
        </w:tc>
      </w:tr>
      <w:tr w14:paraId="3C0C63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36" w:type="dxa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1E7204E1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  <w:t>Record keeping</w:t>
            </w:r>
          </w:p>
        </w:tc>
        <w:tc>
          <w:tcPr>
            <w:tcW w:w="2736" w:type="dxa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5685CF1D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  <w:t>r = 0.55; p &lt; 0.001</w:t>
            </w:r>
          </w:p>
        </w:tc>
        <w:tc>
          <w:tcPr>
            <w:tcW w:w="5040" w:type="dxa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11ECDAC1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  <w:t>Moderate agreement; social-desirability risk remains</w:t>
            </w:r>
          </w:p>
        </w:tc>
      </w:tr>
      <w:tr w14:paraId="704398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36" w:type="dxa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56F721E1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  <w:t>Withdrawal-period compliance</w:t>
            </w:r>
          </w:p>
        </w:tc>
        <w:tc>
          <w:tcPr>
            <w:tcW w:w="2736" w:type="dxa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1A53C366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  <w:t>r = 0.58; p &lt; 0.001</w:t>
            </w:r>
          </w:p>
        </w:tc>
        <w:tc>
          <w:tcPr>
            <w:tcW w:w="5040" w:type="dxa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5EFFDA2C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  <w:t>Moderate agreement</w:t>
            </w:r>
          </w:p>
        </w:tc>
      </w:tr>
      <w:tr w14:paraId="7963D9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36" w:type="dxa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1D32662D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  <w:t>Over-reporting</w:t>
            </w:r>
          </w:p>
        </w:tc>
        <w:tc>
          <w:tcPr>
            <w:tcW w:w="2736" w:type="dxa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658484DB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  <w:t>12%–18%</w:t>
            </w:r>
          </w:p>
        </w:tc>
        <w:tc>
          <w:tcPr>
            <w:tcW w:w="5040" w:type="dxa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33865F1A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  <w:t>Observed for record keeping and withdrawal-period compliance</w:t>
            </w:r>
          </w:p>
        </w:tc>
      </w:tr>
      <w:tr w14:paraId="5CEA62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36" w:type="dxa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74459A42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  <w:t>Weighted robustness</w:t>
            </w:r>
          </w:p>
        </w:tc>
        <w:tc>
          <w:tcPr>
            <w:tcW w:w="2736" w:type="dxa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08C0724B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  <w:t>Main findings remained stable</w:t>
            </w:r>
          </w:p>
        </w:tc>
        <w:tc>
          <w:tcPr>
            <w:tcW w:w="5040" w:type="dxa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35BB2378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  <w:t>Validation-record availability addressed using inverse-probability weights</w:t>
            </w:r>
          </w:p>
        </w:tc>
      </w:tr>
    </w:tbl>
    <w:p w14:paraId="2BFBEBB8"/>
    <w:p w14:paraId="3DCEC9C3">
      <w:pPr>
        <w:pStyle w:val="3"/>
        <w:keepNext/>
        <w:spacing w:before="120" w:after="80"/>
      </w:pPr>
      <w:r>
        <w:rPr>
          <w:rFonts w:ascii="Times New Roman" w:hAnsi="Times New Roman" w:eastAsia="Times New Roman"/>
          <w:b/>
          <w:sz w:val="26"/>
        </w:rPr>
        <w:t>Table S9. Qualitative Coding Framework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3"/>
        <w:gridCol w:w="2086"/>
        <w:gridCol w:w="5497"/>
      </w:tblGrid>
      <w:tr w14:paraId="6B88A0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2513" w:type="dxa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0E5021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7"/>
              </w:rPr>
              <w:t>Code/category</w:t>
            </w:r>
          </w:p>
        </w:tc>
        <w:tc>
          <w:tcPr>
            <w:tcW w:w="2086" w:type="dxa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91796D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7"/>
              </w:rPr>
              <w:t>Evidence base</w:t>
            </w:r>
          </w:p>
        </w:tc>
        <w:tc>
          <w:tcPr>
            <w:tcW w:w="5497" w:type="dxa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138F43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7"/>
              </w:rPr>
              <w:t>Mechanism contribution</w:t>
            </w:r>
          </w:p>
        </w:tc>
      </w:tr>
      <w:tr w14:paraId="6BCD9B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3" w:type="dxa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5D20FC41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  <w:t>AMR risk awareness</w:t>
            </w:r>
          </w:p>
        </w:tc>
        <w:tc>
          <w:tcPr>
            <w:tcW w:w="2086" w:type="dxa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4D9E2C65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  <w:t>n = 47 interviews</w:t>
            </w:r>
          </w:p>
        </w:tc>
        <w:tc>
          <w:tcPr>
            <w:tcW w:w="5497" w:type="dxa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79F0DB85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  <w:t>Perceived food-safety, animal-health, environmental, and livelihood consequences</w:t>
            </w:r>
          </w:p>
        </w:tc>
      </w:tr>
      <w:tr w14:paraId="190D67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3" w:type="dxa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0969B9A3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  <w:t>Regulatory confusion</w:t>
            </w:r>
          </w:p>
        </w:tc>
        <w:tc>
          <w:tcPr>
            <w:tcW w:w="2086" w:type="dxa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20406381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  <w:t>n = 38 interviews</w:t>
            </w:r>
          </w:p>
        </w:tc>
        <w:tc>
          <w:tcPr>
            <w:tcW w:w="5497" w:type="dxa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5A595B12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  <w:t>Learning costs, changing requirements, and unclear compliance pathways</w:t>
            </w:r>
          </w:p>
        </w:tc>
      </w:tr>
      <w:tr w14:paraId="57C033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3" w:type="dxa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3193CA54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  <w:t>Veterinary trust</w:t>
            </w:r>
          </w:p>
        </w:tc>
        <w:tc>
          <w:tcPr>
            <w:tcW w:w="2086" w:type="dxa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1710A8BD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  <w:t>n = 44 interviews</w:t>
            </w:r>
          </w:p>
        </w:tc>
        <w:tc>
          <w:tcPr>
            <w:tcW w:w="5497" w:type="dxa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7D2503F2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  <w:t>Professional advice makes responsibility actionable during disease uncertainty</w:t>
            </w:r>
          </w:p>
        </w:tc>
      </w:tr>
      <w:tr w14:paraId="278C8E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3" w:type="dxa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22E1071C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  <w:t>Administrative burden</w:t>
            </w:r>
          </w:p>
        </w:tc>
        <w:tc>
          <w:tcPr>
            <w:tcW w:w="2086" w:type="dxa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75B98D77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  <w:t>n = 52 interviews</w:t>
            </w:r>
          </w:p>
        </w:tc>
        <w:tc>
          <w:tcPr>
            <w:tcW w:w="5497" w:type="dxa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628AC5E0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  <w:t>Time, money, paperwork, and psychological costs can block compliance</w:t>
            </w:r>
          </w:p>
        </w:tc>
      </w:tr>
      <w:tr w14:paraId="44D18E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3" w:type="dxa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561E537B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  <w:t>Reporting approach</w:t>
            </w:r>
          </w:p>
        </w:tc>
        <w:tc>
          <w:tcPr>
            <w:tcW w:w="2086" w:type="dxa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16643AAA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  <w:t>Category-level evidence</w:t>
            </w:r>
          </w:p>
        </w:tc>
        <w:tc>
          <w:tcPr>
            <w:tcW w:w="5497" w:type="dxa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5D377A2D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  <w:t>No identifiable transcripts or unsupported illustrative quotations are disclosed</w:t>
            </w:r>
          </w:p>
        </w:tc>
      </w:tr>
    </w:tbl>
    <w:p w14:paraId="6548A22F"/>
    <w:p w14:paraId="5125EB2D">
      <w:pPr>
        <w:pStyle w:val="3"/>
        <w:keepNext/>
        <w:spacing w:before="120" w:after="80"/>
      </w:pPr>
      <w:r>
        <w:rPr>
          <w:rFonts w:ascii="Times New Roman" w:hAnsi="Times New Roman" w:eastAsia="Times New Roman"/>
          <w:b/>
          <w:sz w:val="26"/>
        </w:rPr>
        <w:t>Confidentiality Statement for Supplementary Materials</w:t>
      </w:r>
    </w:p>
    <w:p w14:paraId="272F29C8">
      <w:pPr>
        <w:keepNext w:val="0"/>
        <w:spacing w:after="80" w:line="259" w:lineRule="auto"/>
      </w:pPr>
      <w:r>
        <w:rPr>
          <w:rFonts w:ascii="Times New Roman" w:hAnsi="Times New Roman" w:eastAsia="Times New Roman"/>
          <w:sz w:val="22"/>
        </w:rPr>
        <w:t>Raw farm identifiers, identifiable interview transcripts, and documentary validation records are not included because they may reveal commercially sensitive or personally identifiable information. The supplementary materials report only non-identifying instruments, aggregate statistics, and category-level qualitative evidence.</w:t>
      </w:r>
    </w:p>
    <w:p w14:paraId="570E4A6D"/>
    <w:sectPr>
      <w:footerReference r:id="rId5" w:type="default"/>
      <w:pgSz w:w="12240" w:h="15840"/>
      <w:pgMar w:top="1008" w:right="1152" w:bottom="1008" w:left="1152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4556C2">
    <w:pPr>
      <w:pStyle w:val="4"/>
      <w:jc w:val="center"/>
    </w:pPr>
    <w:r>
      <w:fldChar w:fldCharType="begin"/>
    </w:r>
    <w:r>
      <w:instrText xml:space="preserve"> PAGE </w:instrTex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7947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Times New Roman" w:hAnsi="Times New Roman" w:eastAsia="Times New Roman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000000"/>
      <w:sz w:val="28"/>
      <w:szCs w:val="28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000000"/>
      <w:sz w:val="26"/>
      <w:szCs w:val="26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table" w:styleId="6">
    <w:name w:val="Table Grid"/>
    <w:basedOn w:val="5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2026-07-18T09:28:56Z</dcterms:created>
  <dc:creator>34732</dc:creator>
  <cp:lastModifiedBy>乔治</cp:lastModifiedBy>
  <dcterms:modified xsi:type="dcterms:W3CDTF">2026-07-18T09:29:04Z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eyJoZGlkIjoiYWU3NDRlMzg3ODFiYWFkYjEyN2EyNzdlNWE0ZTFlNjkiLCJ1c2VySWQiOiI1NzQyNjUwMzAifQ==</vt:lpwstr>
  </property>
  <property fmtid="{D5CDD505-2E9C-101B-9397-08002B2CF9AE}" pid="4" name="ICV">
    <vt:lpwstr>4E9E51DE76284E40BCC6319957E48ADD_12</vt:lpwstr>
  </property>
</Properties>
</file>