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Supplementary Materials</w:t>
      </w:r>
    </w:p>
    <w:p>
      <w:pPr>
        <w:spacing w:after="120"/>
        <w:jc w:val="left"/>
      </w:pPr>
      <w:r>
        <w:rPr>
          <w:b/>
          <w:bCs/>
        </w:rPr>
        <w:t xml:space="preserve">stratum-eval: A Normative-First Evaluation Framework for Clinical Machine Learning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Hassan Farooq | Sargodha Medical College, Sargodha, Punjab, Pakistan | </w:t>
      </w:r>
      <w:r>
        <w:rPr>
          <w:color w:val="0563C1"/>
          <w:u w:val="single"/>
        </w:rPr>
        <w:t xml:space="preserve">hasanfarooq.edu@gmail.com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S1 — TRIPOD-AI Reporting Checklist</w:t>
      </w:r>
    </w:p>
    <w:p>
      <w:pPr>
        <w:spacing w:after="120"/>
        <w:jc w:val="left"/>
      </w:pPr>
      <w:r>
        <w:rPr>
          <w:b/>
          <w:bCs/>
        </w:rPr>
        <w:t xml:space="preserve">Reference:</w:t>
      </w:r>
      <w:r>
        <w:t xml:space="preserve"> Collins et al. (2024). TRIPOD+AI statement: updated guidance for reporting clinical prediction models that use regression or machine learning. </w:t>
      </w:r>
      <w:r>
        <w:rPr>
          <w:i/>
          <w:iCs/>
        </w:rPr>
        <w:t xml:space="preserve">BMJ</w:t>
      </w:r>
      <w:r>
        <w:t xml:space="preserve">, 385, e078378.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531"/>
        <w:gridCol w:w="1660"/>
        <w:gridCol w:w="2456"/>
        <w:gridCol w:w="730"/>
        <w:gridCol w:w="3983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Item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Domain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Requirement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Location in Manuscript</w:t>
            </w:r>
          </w:p>
        </w:tc>
      </w:tr>
      <w:tr>
        <w:tc>
          <w:p>
            <w:pPr>
              <w:jc w:val="left"/>
            </w:pPr>
            <w:r>
              <w:t xml:space="preserve">1</w:t>
            </w:r>
          </w:p>
        </w:tc>
        <w:tc>
          <w:p>
            <w:pPr>
              <w:jc w:val="left"/>
            </w:pPr>
            <w:r>
              <w:t xml:space="preserve">Title</w:t>
            </w:r>
          </w:p>
        </w:tc>
        <w:tc>
          <w:p>
            <w:pPr>
              <w:jc w:val="left"/>
            </w:pPr>
            <w:r>
              <w:t xml:space="preserve">Identify the study as developing, validating, or updating a clinical prediction model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Title</w:t>
            </w:r>
          </w:p>
        </w:tc>
      </w:tr>
      <w:tr>
        <w:tc>
          <w:p>
            <w:pPr>
              <w:jc w:val="left"/>
            </w:pPr>
            <w:r>
              <w:t xml:space="preserve">2</w:t>
            </w:r>
          </w:p>
        </w:tc>
        <w:tc>
          <w:p>
            <w:pPr>
              <w:jc w:val="left"/>
            </w:pPr>
            <w:r>
              <w:t xml:space="preserve">Abstract</w:t>
            </w:r>
          </w:p>
        </w:tc>
        <w:tc>
          <w:p>
            <w:pPr>
              <w:jc w:val="left"/>
            </w:pPr>
            <w:r>
              <w:t xml:space="preserve">Provide a structured summary of objectives, methods, results, and conclusions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Abstract</w:t>
            </w:r>
          </w:p>
        </w:tc>
      </w:tr>
      <w:tr>
        <w:tc>
          <w:p>
            <w:pPr>
              <w:jc w:val="left"/>
            </w:pPr>
            <w:r>
              <w:t xml:space="preserve">3</w:t>
            </w:r>
          </w:p>
        </w:tc>
        <w:tc>
          <w:p>
            <w:pPr>
              <w:jc w:val="left"/>
            </w:pPr>
            <w:r>
              <w:t xml:space="preserve">Abstract — model type</w:t>
            </w:r>
          </w:p>
        </w:tc>
        <w:tc>
          <w:p>
            <w:pPr>
              <w:jc w:val="left"/>
            </w:pPr>
            <w:r>
              <w:t xml:space="preserve">State the type of prediction model and intended use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Abstract</w:t>
            </w:r>
          </w:p>
        </w:tc>
      </w:tr>
      <w:tr>
        <w:tc>
          <w:p>
            <w:pPr>
              <w:jc w:val="left"/>
            </w:pPr>
            <w:r>
              <w:t xml:space="preserve">4</w:t>
            </w:r>
          </w:p>
        </w:tc>
        <w:tc>
          <w:p>
            <w:pPr>
              <w:jc w:val="left"/>
            </w:pPr>
            <w:r>
              <w:t xml:space="preserve">Background</w:t>
            </w:r>
          </w:p>
        </w:tc>
        <w:tc>
          <w:p>
            <w:pPr>
              <w:jc w:val="left"/>
            </w:pPr>
            <w:r>
              <w:t xml:space="preserve">Explain the medical context and the clinical problem the model addresses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§1.1</w:t>
            </w:r>
          </w:p>
        </w:tc>
      </w:tr>
      <w:tr>
        <w:tc>
          <w:p>
            <w:pPr>
              <w:jc w:val="left"/>
            </w:pPr>
            <w:r>
              <w:t xml:space="preserve">5</w:t>
            </w:r>
          </w:p>
        </w:tc>
        <w:tc>
          <w:p>
            <w:pPr>
              <w:jc w:val="left"/>
            </w:pPr>
            <w:r>
              <w:t xml:space="preserve">Objectives</w:t>
            </w:r>
          </w:p>
        </w:tc>
        <w:tc>
          <w:p>
            <w:pPr>
              <w:jc w:val="left"/>
            </w:pPr>
            <w:r>
              <w:t xml:space="preserve">Specify the objectives, including the prediction target, population, and setting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§1.3</w:t>
            </w:r>
          </w:p>
        </w:tc>
      </w:tr>
      <w:tr>
        <w:tc>
          <w:p>
            <w:pPr>
              <w:jc w:val="left"/>
            </w:pPr>
            <w:r>
              <w:t xml:space="preserve">6</w:t>
            </w:r>
          </w:p>
        </w:tc>
        <w:tc>
          <w:p>
            <w:pPr>
              <w:jc w:val="left"/>
            </w:pPr>
            <w:r>
              <w:t xml:space="preserve">Source of data</w:t>
            </w:r>
          </w:p>
        </w:tc>
        <w:tc>
          <w:p>
            <w:pPr>
              <w:jc w:val="left"/>
            </w:pPr>
            <w:r>
              <w:t xml:space="preserve">Describe the source of data used in the study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§6.1</w:t>
            </w:r>
          </w:p>
        </w:tc>
      </w:tr>
      <w:tr>
        <w:tc>
          <w:p>
            <w:pPr>
              <w:jc w:val="left"/>
            </w:pPr>
            <w:r>
              <w:t xml:space="preserve">7</w:t>
            </w:r>
          </w:p>
        </w:tc>
        <w:tc>
          <w:p>
            <w:pPr>
              <w:jc w:val="left"/>
            </w:pPr>
            <w:r>
              <w:t xml:space="preserve">Study design</w:t>
            </w:r>
          </w:p>
        </w:tc>
        <w:tc>
          <w:p>
            <w:pPr>
              <w:jc w:val="left"/>
            </w:pPr>
            <w:r>
              <w:t xml:space="preserve">Define the study design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§6.1</w:t>
            </w:r>
          </w:p>
        </w:tc>
      </w:tr>
      <w:tr>
        <w:tc>
          <w:p>
            <w:pPr>
              <w:jc w:val="left"/>
            </w:pPr>
            <w:r>
              <w:t xml:space="preserve">8</w:t>
            </w:r>
          </w:p>
        </w:tc>
        <w:tc>
          <w:p>
            <w:pPr>
              <w:jc w:val="left"/>
            </w:pPr>
            <w:r>
              <w:t xml:space="preserve">Participants — eligibility</w:t>
            </w:r>
          </w:p>
        </w:tc>
        <w:tc>
          <w:p>
            <w:pPr>
              <w:jc w:val="left"/>
            </w:pPr>
            <w:r>
              <w:t xml:space="preserve">Specify eligibility criteria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§6.1</w:t>
            </w:r>
          </w:p>
        </w:tc>
      </w:tr>
      <w:tr>
        <w:tc>
          <w:p>
            <w:pPr>
              <w:jc w:val="left"/>
            </w:pPr>
            <w:r>
              <w:t xml:space="preserve">9</w:t>
            </w:r>
          </w:p>
        </w:tc>
        <w:tc>
          <w:p>
            <w:pPr>
              <w:jc w:val="left"/>
            </w:pPr>
            <w:r>
              <w:t xml:space="preserve">Participants — setting</w:t>
            </w:r>
          </w:p>
        </w:tc>
        <w:tc>
          <w:p>
            <w:pPr>
              <w:jc w:val="left"/>
            </w:pPr>
            <w:r>
              <w:t xml:space="preserve">Describe the care setting and time period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§6.1, Appendix B</w:t>
            </w:r>
          </w:p>
        </w:tc>
      </w:tr>
      <w:tr>
        <w:tc>
          <w:p>
            <w:pPr>
              <w:jc w:val="left"/>
            </w:pPr>
            <w:r>
              <w:t xml:space="preserve">10</w:t>
            </w:r>
          </w:p>
        </w:tc>
        <w:tc>
          <w:p>
            <w:pPr>
              <w:jc w:val="left"/>
            </w:pPr>
            <w:r>
              <w:t xml:space="preserve">Outcome</w:t>
            </w:r>
          </w:p>
        </w:tc>
        <w:tc>
          <w:p>
            <w:pPr>
              <w:jc w:val="left"/>
            </w:pPr>
            <w:r>
              <w:t xml:space="preserve">Clearly define the outcome to be predicted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§6.1</w:t>
            </w:r>
          </w:p>
        </w:tc>
      </w:tr>
      <w:tr>
        <w:tc>
          <w:p>
            <w:pPr>
              <w:jc w:val="left"/>
            </w:pPr>
            <w:r>
              <w:t xml:space="preserve">11</w:t>
            </w:r>
          </w:p>
        </w:tc>
        <w:tc>
          <w:p>
            <w:pPr>
              <w:jc w:val="left"/>
            </w:pPr>
            <w:r>
              <w:t xml:space="preserve">Outcome — ascertainment</w:t>
            </w:r>
          </w:p>
        </w:tc>
        <w:tc>
          <w:p>
            <w:pPr>
              <w:jc w:val="left"/>
            </w:pPr>
            <w:r>
              <w:t xml:space="preserve">Describe how the outcome was measured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§6.1</w:t>
            </w:r>
          </w:p>
        </w:tc>
      </w:tr>
      <w:tr>
        <w:tc>
          <w:p>
            <w:pPr>
              <w:jc w:val="left"/>
            </w:pPr>
            <w:r>
              <w:t xml:space="preserve">12</w:t>
            </w:r>
          </w:p>
        </w:tc>
        <w:tc>
          <w:p>
            <w:pPr>
              <w:jc w:val="left"/>
            </w:pPr>
            <w:r>
              <w:t xml:space="preserve">Predictors — selection</w:t>
            </w:r>
          </w:p>
        </w:tc>
        <w:tc>
          <w:p>
            <w:pPr>
              <w:jc w:val="left"/>
            </w:pPr>
            <w:r>
              <w:t xml:space="preserve">Describe how predictors were selected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§6.1</w:t>
            </w:r>
          </w:p>
        </w:tc>
      </w:tr>
      <w:tr>
        <w:tc>
          <w:p>
            <w:pPr>
              <w:jc w:val="left"/>
            </w:pPr>
            <w:r>
              <w:t xml:space="preserve">13</w:t>
            </w:r>
          </w:p>
        </w:tc>
        <w:tc>
          <w:p>
            <w:pPr>
              <w:jc w:val="left"/>
            </w:pPr>
            <w:r>
              <w:t xml:space="preserve">Predictors — ascertainment</w:t>
            </w:r>
          </w:p>
        </w:tc>
        <w:tc>
          <w:p>
            <w:pPr>
              <w:jc w:val="left"/>
            </w:pPr>
            <w:r>
              <w:t xml:space="preserve">Describe how predictor values were measured and handled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§6.1</w:t>
            </w:r>
          </w:p>
        </w:tc>
      </w:tr>
      <w:tr>
        <w:tc>
          <w:p>
            <w:pPr>
              <w:jc w:val="left"/>
            </w:pPr>
            <w:r>
              <w:t xml:space="preserve">14</w:t>
            </w:r>
          </w:p>
        </w:tc>
        <w:tc>
          <w:p>
            <w:pPr>
              <w:jc w:val="left"/>
            </w:pPr>
            <w:r>
              <w:t xml:space="preserve">Sample size</w:t>
            </w:r>
          </w:p>
        </w:tc>
        <w:tc>
          <w:p>
            <w:pPr>
              <w:jc w:val="left"/>
            </w:pPr>
            <w:r>
              <w:t xml:space="preserve">Explain how the sample size was determined</w:t>
            </w:r>
          </w:p>
        </w:tc>
        <w:tc>
          <w:p>
            <w:pPr>
              <w:jc w:val="left"/>
            </w:pPr>
            <w:r>
              <w:t xml:space="preserve">Partial</w:t>
            </w:r>
          </w:p>
        </w:tc>
        <w:tc>
          <w:p>
            <w:pPr>
              <w:jc w:val="left"/>
            </w:pPr>
            <w:r>
              <w:t xml:space="preserve">§6.1 — constrained by the MIMIC-IV Demo's 100-patient restriction; not a power-based calculation. The study is a proof-of-concept demonstration of the stratum-eval framework, not a powered clinical validation study.</w:t>
            </w:r>
          </w:p>
        </w:tc>
      </w:tr>
      <w:tr>
        <w:tc>
          <w:p>
            <w:pPr>
              <w:jc w:val="left"/>
            </w:pPr>
            <w:r>
              <w:t xml:space="preserve">15</w:t>
            </w:r>
          </w:p>
        </w:tc>
        <w:tc>
          <w:p>
            <w:pPr>
              <w:jc w:val="left"/>
            </w:pPr>
            <w:r>
              <w:t xml:space="preserve">Missing data</w:t>
            </w:r>
          </w:p>
        </w:tc>
        <w:tc>
          <w:p>
            <w:pPr>
              <w:jc w:val="left"/>
            </w:pPr>
            <w:r>
              <w:t xml:space="preserve">Describe how missing data were handled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§6.1</w:t>
            </w:r>
          </w:p>
        </w:tc>
      </w:tr>
      <w:tr>
        <w:tc>
          <w:p>
            <w:pPr>
              <w:jc w:val="left"/>
            </w:pPr>
            <w:r>
              <w:t xml:space="preserve">16</w:t>
            </w:r>
          </w:p>
        </w:tc>
        <w:tc>
          <w:p>
            <w:pPr>
              <w:jc w:val="left"/>
            </w:pPr>
            <w:r>
              <w:t xml:space="preserve">Statistical analysis — preprocessing</w:t>
            </w:r>
          </w:p>
        </w:tc>
        <w:tc>
          <w:p>
            <w:pPr>
              <w:jc w:val="left"/>
            </w:pPr>
            <w:r>
              <w:t xml:space="preserve">Describe all preprocessing steps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§6.1, S5</w:t>
            </w:r>
          </w:p>
        </w:tc>
      </w:tr>
      <w:tr>
        <w:tc>
          <w:p>
            <w:pPr>
              <w:jc w:val="left"/>
            </w:pPr>
            <w:r>
              <w:t xml:space="preserve">17</w:t>
            </w:r>
          </w:p>
        </w:tc>
        <w:tc>
          <w:p>
            <w:pPr>
              <w:jc w:val="left"/>
            </w:pPr>
            <w:r>
              <w:t xml:space="preserve">Statistical analysis — model</w:t>
            </w:r>
          </w:p>
        </w:tc>
        <w:tc>
          <w:p>
            <w:pPr>
              <w:jc w:val="left"/>
            </w:pPr>
            <w:r>
              <w:t xml:space="preserve">Describe the modelling technique and software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§6.2</w:t>
            </w:r>
          </w:p>
        </w:tc>
      </w:tr>
      <w:tr>
        <w:tc>
          <w:p>
            <w:pPr>
              <w:jc w:val="left"/>
            </w:pPr>
            <w:r>
              <w:t xml:space="preserve">18</w:t>
            </w:r>
          </w:p>
        </w:tc>
        <w:tc>
          <w:p>
            <w:pPr>
              <w:jc w:val="left"/>
            </w:pPr>
            <w:r>
              <w:t xml:space="preserve">Statistical analysis — performance</w:t>
            </w:r>
          </w:p>
        </w:tc>
        <w:tc>
          <w:p>
            <w:pPr>
              <w:jc w:val="left"/>
            </w:pPr>
            <w:r>
              <w:t xml:space="preserve">Specify all measures used to assess model performance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§4, §6.3</w:t>
            </w:r>
          </w:p>
        </w:tc>
      </w:tr>
      <w:tr>
        <w:tc>
          <w:p>
            <w:pPr>
              <w:jc w:val="left"/>
            </w:pPr>
            <w:r>
              <w:t xml:space="preserve">19</w:t>
            </w:r>
          </w:p>
        </w:tc>
        <w:tc>
          <w:p>
            <w:pPr>
              <w:jc w:val="left"/>
            </w:pPr>
            <w:r>
              <w:t xml:space="preserve">Statistical analysis — validation</w:t>
            </w:r>
          </w:p>
        </w:tc>
        <w:tc>
          <w:p>
            <w:pPr>
              <w:jc w:val="left"/>
            </w:pPr>
            <w:r>
              <w:t xml:space="preserve">Describe the internal and external validation approach</w:t>
            </w:r>
          </w:p>
        </w:tc>
        <w:tc>
          <w:p>
            <w:pPr>
              <w:jc w:val="left"/>
            </w:pPr>
            <w:r>
              <w:t xml:space="preserve">Partial</w:t>
            </w:r>
          </w:p>
        </w:tc>
        <w:tc>
          <w:p>
            <w:pPr>
              <w:jc w:val="left"/>
            </w:pPr>
            <w:r>
              <w:t xml:space="preserve">§6.2 — five-fold stratified cross-validation on the training set is reported. External validation was not performed and is noted as a limitation (§7.2).</w:t>
            </w:r>
          </w:p>
        </w:tc>
      </w:tr>
      <w:tr>
        <w:tc>
          <w:p>
            <w:pPr>
              <w:jc w:val="left"/>
            </w:pPr>
            <w:r>
              <w:t xml:space="preserve">20</w:t>
            </w:r>
          </w:p>
        </w:tc>
        <w:tc>
          <w:p>
            <w:pPr>
              <w:jc w:val="left"/>
            </w:pPr>
            <w:r>
              <w:t xml:space="preserve">Model development — selection</w:t>
            </w:r>
          </w:p>
        </w:tc>
        <w:tc>
          <w:p>
            <w:pPr>
              <w:jc w:val="left"/>
            </w:pPr>
            <w:r>
              <w:t xml:space="preserve">Describe the process for developing the final model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§6.2</w:t>
            </w:r>
          </w:p>
        </w:tc>
      </w:tr>
      <w:tr>
        <w:tc>
          <w:p>
            <w:pPr>
              <w:jc w:val="left"/>
            </w:pPr>
            <w:r>
              <w:t xml:space="preserve">21</w:t>
            </w:r>
          </w:p>
        </w:tc>
        <w:tc>
          <w:p>
            <w:pPr>
              <w:jc w:val="left"/>
            </w:pPr>
            <w:r>
              <w:t xml:space="preserve">Model development — hyperparameters</w:t>
            </w:r>
          </w:p>
        </w:tc>
        <w:tc>
          <w:p>
            <w:pPr>
              <w:jc w:val="left"/>
            </w:pPr>
            <w:r>
              <w:t xml:space="preserve">Report all hyperparameters and selection strategy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§6.2</w:t>
            </w:r>
          </w:p>
        </w:tc>
      </w:tr>
      <w:tr>
        <w:tc>
          <w:p>
            <w:pPr>
              <w:jc w:val="left"/>
            </w:pPr>
            <w:r>
              <w:t xml:space="preserve">22</w:t>
            </w:r>
          </w:p>
        </w:tc>
        <w:tc>
          <w:p>
            <w:pPr>
              <w:jc w:val="left"/>
            </w:pPr>
            <w:r>
              <w:t xml:space="preserve">Participants — flow</w:t>
            </w:r>
          </w:p>
        </w:tc>
        <w:tc>
          <w:p>
            <w:pPr>
              <w:jc w:val="left"/>
            </w:pPr>
            <w:r>
              <w:t xml:space="preserve">Report the number of participants at each stage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§6.1</w:t>
            </w:r>
          </w:p>
        </w:tc>
      </w:tr>
      <w:tr>
        <w:tc>
          <w:p>
            <w:pPr>
              <w:jc w:val="left"/>
            </w:pPr>
            <w:r>
              <w:t xml:space="preserve">23</w:t>
            </w:r>
          </w:p>
        </w:tc>
        <w:tc>
          <w:p>
            <w:pPr>
              <w:jc w:val="left"/>
            </w:pPr>
            <w:r>
              <w:t xml:space="preserve">Predictors — descriptive</w:t>
            </w:r>
          </w:p>
        </w:tc>
        <w:tc>
          <w:p>
            <w:pPr>
              <w:jc w:val="left"/>
            </w:pPr>
            <w:r>
              <w:t xml:space="preserve">Give descriptive statistics for predictors and outcome</w:t>
            </w:r>
          </w:p>
        </w:tc>
        <w:tc>
          <w:p>
            <w:pPr>
              <w:jc w:val="left"/>
            </w:pPr>
            <w:r>
              <w:t xml:space="preserve">Partial</w:t>
            </w:r>
          </w:p>
        </w:tc>
        <w:tc>
          <w:p>
            <w:pPr>
              <w:jc w:val="left"/>
            </w:pPr>
            <w:r>
              <w:t xml:space="preserve">§6.1 — group-level prevalence is reported. Predictor-level descriptive statistics are available from the extraction pipeline (S5) but are not tabulated in the main manuscript to preserve focus on the evaluation framework.</w:t>
            </w:r>
          </w:p>
        </w:tc>
      </w:tr>
      <w:tr>
        <w:tc>
          <w:p>
            <w:pPr>
              <w:jc w:val="left"/>
            </w:pPr>
            <w:r>
              <w:t xml:space="preserve">24</w:t>
            </w:r>
          </w:p>
        </w:tc>
        <w:tc>
          <w:p>
            <w:pPr>
              <w:jc w:val="left"/>
            </w:pPr>
            <w:r>
              <w:t xml:space="preserve">Model performance</w:t>
            </w:r>
          </w:p>
        </w:tc>
        <w:tc>
          <w:p>
            <w:pPr>
              <w:jc w:val="left"/>
            </w:pPr>
            <w:r>
              <w:t xml:space="preserve">Report performance measures with confidence intervals</w:t>
            </w:r>
          </w:p>
        </w:tc>
        <w:tc>
          <w:p>
            <w:pPr>
              <w:jc w:val="left"/>
            </w:pPr>
            <w:r>
              <w:t xml:space="preserve">Partial</w:t>
            </w:r>
          </w:p>
        </w:tc>
        <w:tc>
          <w:p>
            <w:pPr>
              <w:jc w:val="left"/>
            </w:pPr>
            <w:r>
              <w:t xml:space="preserve">§6.3, Tables 2–4 — point estimates are reported. Bootstrap 95% confidence intervals on AUROC are provided in S2.</w:t>
            </w:r>
          </w:p>
        </w:tc>
      </w:tr>
      <w:tr>
        <w:tc>
          <w:p>
            <w:pPr>
              <w:jc w:val="left"/>
            </w:pPr>
            <w:r>
              <w:t xml:space="preserve">25</w:t>
            </w:r>
          </w:p>
        </w:tc>
        <w:tc>
          <w:p>
            <w:pPr>
              <w:jc w:val="left"/>
            </w:pPr>
            <w:r>
              <w:t xml:space="preserve">Model presentation</w:t>
            </w:r>
          </w:p>
        </w:tc>
        <w:tc>
          <w:p>
            <w:pPr>
              <w:jc w:val="left"/>
            </w:pPr>
            <w:r>
              <w:t xml:space="preserve">Present the model for individual predictions</w:t>
            </w:r>
          </w:p>
        </w:tc>
        <w:tc>
          <w:p>
            <w:pPr>
              <w:jc w:val="left"/>
            </w:pPr>
            <w:r>
              <w:t xml:space="preserve">N/A</w:t>
            </w:r>
          </w:p>
        </w:tc>
        <w:tc>
          <w:p>
            <w:pPr>
              <w:jc w:val="left"/>
            </w:pPr>
            <w:r>
              <w:t xml:space="preserve">Framework paper — the model is not presented for direct clinical deployment.</w:t>
            </w:r>
          </w:p>
        </w:tc>
      </w:tr>
      <w:tr>
        <w:tc>
          <w:p>
            <w:pPr>
              <w:jc w:val="left"/>
            </w:pPr>
            <w:r>
              <w:t xml:space="preserve">26</w:t>
            </w:r>
          </w:p>
        </w:tc>
        <w:tc>
          <w:p>
            <w:pPr>
              <w:jc w:val="left"/>
            </w:pPr>
            <w:r>
              <w:t xml:space="preserve">Limitations</w:t>
            </w:r>
          </w:p>
        </w:tc>
        <w:tc>
          <w:p>
            <w:pPr>
              <w:jc w:val="left"/>
            </w:pPr>
            <w:r>
              <w:t xml:space="preserve">Discuss limitations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§7.2</w:t>
            </w:r>
          </w:p>
        </w:tc>
      </w:tr>
      <w:tr>
        <w:tc>
          <w:p>
            <w:pPr>
              <w:jc w:val="left"/>
            </w:pPr>
            <w:r>
              <w:t xml:space="preserve">27</w:t>
            </w:r>
          </w:p>
        </w:tc>
        <w:tc>
          <w:p>
            <w:pPr>
              <w:jc w:val="left"/>
            </w:pPr>
            <w:r>
              <w:t xml:space="preserve">Interpretation</w:t>
            </w:r>
          </w:p>
        </w:tc>
        <w:tc>
          <w:p>
            <w:pPr>
              <w:jc w:val="left"/>
            </w:pPr>
            <w:r>
              <w:t xml:space="preserve">Discuss the implications in context of the evidence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§7.3</w:t>
            </w:r>
          </w:p>
        </w:tc>
      </w:tr>
      <w:tr>
        <w:tc>
          <w:p>
            <w:pPr>
              <w:jc w:val="left"/>
            </w:pPr>
            <w:r>
              <w:t xml:space="preserve">28</w:t>
            </w:r>
          </w:p>
        </w:tc>
        <w:tc>
          <w:p>
            <w:pPr>
              <w:jc w:val="left"/>
            </w:pPr>
            <w:r>
              <w:t xml:space="preserve">Generalisability</w:t>
            </w:r>
          </w:p>
        </w:tc>
        <w:tc>
          <w:p>
            <w:pPr>
              <w:jc w:val="left"/>
            </w:pPr>
            <w:r>
              <w:t xml:space="preserve">Discuss generalisability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§7.2, §6.1 (limitation note)</w:t>
            </w:r>
          </w:p>
        </w:tc>
      </w:tr>
      <w:tr>
        <w:tc>
          <w:p>
            <w:pPr>
              <w:jc w:val="left"/>
            </w:pPr>
            <w:r>
              <w:t xml:space="preserve">29</w:t>
            </w:r>
          </w:p>
        </w:tc>
        <w:tc>
          <w:p>
            <w:pPr>
              <w:jc w:val="left"/>
            </w:pPr>
            <w:r>
              <w:t xml:space="preserve">Registration</w:t>
            </w:r>
          </w:p>
        </w:tc>
        <w:tc>
          <w:p>
            <w:pPr>
              <w:jc w:val="left"/>
            </w:pPr>
            <w:r>
              <w:t xml:space="preserve">State whether the study was registered</w:t>
            </w:r>
          </w:p>
        </w:tc>
        <w:tc>
          <w:p>
            <w:pPr>
              <w:jc w:val="left"/>
            </w:pPr>
            <w:r>
              <w:t xml:space="preserve">N/A</w:t>
            </w:r>
          </w:p>
        </w:tc>
        <w:tc>
          <w:p>
            <w:pPr>
              <w:jc w:val="left"/>
            </w:pPr>
            <w:r>
              <w:t xml:space="preserve">Observational secondary analysis of publicly available de-identified data; registration not required.</w:t>
            </w:r>
          </w:p>
        </w:tc>
      </w:tr>
      <w:tr>
        <w:tc>
          <w:p>
            <w:pPr>
              <w:jc w:val="left"/>
            </w:pPr>
            <w:r>
              <w:t xml:space="preserve">30</w:t>
            </w:r>
          </w:p>
        </w:tc>
        <w:tc>
          <w:p>
            <w:pPr>
              <w:jc w:val="left"/>
            </w:pPr>
            <w:r>
              <w:t xml:space="preserve">Funding</w:t>
            </w:r>
          </w:p>
        </w:tc>
        <w:tc>
          <w:p>
            <w:pPr>
              <w:jc w:val="left"/>
            </w:pPr>
            <w:r>
              <w:t xml:space="preserve">Give the source of funding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Acknowledgements — no external funding.</w:t>
            </w:r>
          </w:p>
        </w:tc>
      </w:tr>
      <w:tr>
        <w:tc>
          <w:p>
            <w:pPr>
              <w:jc w:val="left"/>
            </w:pPr>
            <w:r>
              <w:t xml:space="preserve">31</w:t>
            </w:r>
          </w:p>
        </w:tc>
        <w:tc>
          <w:p>
            <w:pPr>
              <w:jc w:val="left"/>
            </w:pPr>
            <w:r>
              <w:t xml:space="preserve">Code availability</w:t>
            </w:r>
          </w:p>
        </w:tc>
        <w:tc>
          <w:p>
            <w:pPr>
              <w:jc w:val="left"/>
            </w:pPr>
            <w:r>
              <w:t xml:space="preserve">Report where the analysis code is available</w:t>
            </w:r>
          </w:p>
        </w:tc>
        <w:tc>
          <w:p>
            <w:pPr>
              <w:jc w:val="left"/>
            </w:pPr>
            <w:r>
              <w:t xml:space="preserve">✓</w:t>
            </w:r>
          </w:p>
        </w:tc>
        <w:tc>
          <w:p>
            <w:pPr>
              <w:jc w:val="left"/>
            </w:pPr>
            <w:r>
              <w:t xml:space="preserve">§9, Code Availability — </w:t>
            </w:r>
            <w:r>
              <w:rPr>
                <w:color w:val="0563C1"/>
                <w:u w:val="single"/>
              </w:rPr>
              <w:t xml:space="preserve">https://github.com/hadbierox196/stratum-eval</w:t>
            </w:r>
          </w:p>
        </w:tc>
      </w:tr>
    </w:tbl>
    <w:p>
      <w:pPr>
        <w:spacing w:before="24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S2 — Bootstrap Confidence Intervals on AUROC</w:t>
      </w:r>
    </w:p>
    <w:p>
      <w:pPr>
        <w:spacing w:after="120"/>
        <w:jc w:val="left"/>
      </w:pPr>
      <w:r>
        <w:rPr>
          <w:b/>
          <w:bCs/>
        </w:rPr>
        <w:t xml:space="preserve">Background.</w:t>
      </w:r>
      <w:r>
        <w:t xml:space="preserve"> Group-level AUROC estimates in the main manuscript (Table 2) are based on n = 17 (Group A, Male) and n = 18 (Group B, Female) held-out test stays. At this sample size, point estimates carry substantial uncertainty. Bootstrap 95% confidence intervals are reported here for transparency.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Method.</w:t>
      </w:r>
      <w:r>
        <w:t xml:space="preserve"> Two thousand bootstrap resamples were drawn with replacement from each group's held-out test set. AUROC was computed via the Mann-Whitney U statistic on each resample. Resamples yielding a single class were excluded (one resample excluded for Group B). The 2.5th and 97.5th percentiles of the bootstrap distribution define the 95% confidence interval. All computations used the score arrays from the stratum-eval analysis pipeline; code is available at </w:t>
      </w:r>
      <w:r>
        <w:rPr>
          <w:color w:val="0563C1"/>
          <w:u w:val="single"/>
        </w:rPr>
        <w:t xml:space="preserve">https://github.com/hadbierox196/stratum-eval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Table S2.1. Bootstrap 95% confidence intervals on AUROC (n = 2,000 resamples, seed = 42).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496"/>
        <w:gridCol w:w="749"/>
        <w:gridCol w:w="2371"/>
        <w:gridCol w:w="1872"/>
        <w:gridCol w:w="1872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Group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n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AUROC (point estimate)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Bootstrap mean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95% CI</w:t>
            </w:r>
          </w:p>
        </w:tc>
      </w:tr>
      <w:tr>
        <w:tc>
          <w:p>
            <w:pPr>
              <w:jc w:val="left"/>
            </w:pPr>
            <w:r>
              <w:t xml:space="preserve">Group A (Male)</w:t>
            </w:r>
          </w:p>
        </w:tc>
        <w:tc>
          <w:p>
            <w:pPr>
              <w:jc w:val="left"/>
            </w:pPr>
            <w:r>
              <w:t xml:space="preserve">17</w:t>
            </w:r>
          </w:p>
        </w:tc>
        <w:tc>
          <w:p>
            <w:pPr>
              <w:jc w:val="left"/>
            </w:pPr>
            <w:r>
              <w:t xml:space="preserve">0.829</w:t>
            </w:r>
          </w:p>
        </w:tc>
        <w:tc>
          <w:p>
            <w:pPr>
              <w:jc w:val="left"/>
            </w:pPr>
            <w:r>
              <w:t xml:space="preserve">0.829</w:t>
            </w:r>
          </w:p>
        </w:tc>
        <w:tc>
          <w:p>
            <w:pPr>
              <w:jc w:val="left"/>
            </w:pPr>
            <w:r>
              <w:t xml:space="preserve">[0.569–1.000]</w:t>
            </w:r>
          </w:p>
        </w:tc>
      </w:tr>
      <w:tr>
        <w:tc>
          <w:p>
            <w:pPr>
              <w:jc w:val="left"/>
            </w:pPr>
            <w:r>
              <w:t xml:space="preserve">Group B (Female)</w:t>
            </w:r>
          </w:p>
        </w:tc>
        <w:tc>
          <w:p>
            <w:pPr>
              <w:jc w:val="left"/>
            </w:pPr>
            <w:r>
              <w:t xml:space="preserve">18</w:t>
            </w:r>
          </w:p>
        </w:tc>
        <w:tc>
          <w:p>
            <w:pPr>
              <w:jc w:val="left"/>
            </w:pPr>
            <w:r>
              <w:t xml:space="preserve">0.961</w:t>
            </w:r>
          </w:p>
        </w:tc>
        <w:tc>
          <w:p>
            <w:pPr>
              <w:jc w:val="left"/>
            </w:pPr>
            <w:r>
              <w:t xml:space="preserve">0.961</w:t>
            </w:r>
          </w:p>
        </w:tc>
        <w:tc>
          <w:p>
            <w:pPr>
              <w:jc w:val="left"/>
            </w:pPr>
            <w:r>
              <w:t xml:space="preserve">[0.833–1.000]</w:t>
            </w:r>
          </w:p>
        </w:tc>
      </w:tr>
      <w:tr>
        <w:tc>
          <w:p>
            <w:pPr>
              <w:jc w:val="left"/>
            </w:pPr>
            <w:r>
              <w:t xml:space="preserve">Overall (held-out test)</w:t>
            </w:r>
          </w:p>
        </w:tc>
        <w:tc>
          <w:p>
            <w:pPr>
              <w:jc w:val="left"/>
            </w:pPr>
            <w:r>
              <w:t xml:space="preserve">35</w:t>
            </w:r>
          </w:p>
        </w:tc>
        <w:tc>
          <w:p>
            <w:pPr>
              <w:jc w:val="left"/>
            </w:pPr>
            <w:r>
              <w:t xml:space="preserve">0.905</w:t>
            </w:r>
          </w:p>
        </w:tc>
        <w:tc>
          <w:p>
            <w:pPr>
              <w:jc w:val="left"/>
            </w:pPr>
            <w:r>
              <w:t xml:space="preserve">0.903</w:t>
            </w:r>
          </w:p>
        </w:tc>
        <w:tc>
          <w:p>
            <w:pPr>
              <w:jc w:val="left"/>
            </w:pPr>
            <w:r>
              <w:t xml:space="preserve">[0.790–0.981]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Interpretation.</w:t>
      </w:r>
      <w:r>
        <w:t xml:space="preserve"> The wide confidence intervals — particularly for Group A, whose lower bound extends to 0.569 — are an expected and honest consequence of the small per-group test set size (n = 17). This reinforces the manuscript's own framing: these estimates are proof-of-concept demonstrations of the stratum-eval framework's reporting architecture, not powered clinical validation estimates. The framework's Layer 4 underpowered-cell flagging and its validity horizon mechanism are both direct responses to exactly this kind of small-sample uncertainty.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S3 — Full StratumCard Output (MIMIC-IV Demo Experiment)</w:t>
      </w:r>
    </w:p>
    <w:p>
      <w:pPr>
        <w:spacing w:after="120"/>
        <w:jc w:val="left"/>
      </w:pPr>
      <w:r>
        <w:t xml:space="preserve">The following is the machine-readable StratumCard produced by stratum-eval v0.1.0-dev for the MIMIC-IV Clinical Database Demo (v2.2) Sepsis-3 experiment reported in §6. Every field traces to either a section of this paper (paper_ref) or a location in the code repository (code_ref).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"stratum_eval_version": "0.1.0-dev",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"generated": "2026-06-30",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"schema_version": "1.0",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"nsd_status": "VALID",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"nsd_validity_horizon": "2027-06-01",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"nsd_expired": false,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"use_case": "Predict 24-hour Sepsis-3 onset in adult ICU patients to support escalation decisions by attending clinicians.",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"fairness_criterion": "calibration",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"fairness_rationale_excerpt": "Calibration chosen so that a predicted probability of 0.7 reflects equal clinical risk regardless of patient sex. Trade-off acknowledged: groups with lower base rates face higher false-positive rates at the same operating threshold.",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"trade_off_language_detected": true,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"stakeholders_represented": [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"Clinical Lead (Attending Physician)"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],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"stakeholders_not_represented": [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"Patient community — consultation planned for full MIMIC-IV deployment"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],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"acceptable_fnr": 0.15,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"acceptable_fpr": 0.25,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"operating_threshold": 0.610,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"threshold_selection_method": "Youden's J statistic",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"validity_horizon": "2027-06-01",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"sunset_condition": "Model retraining, change in Sepsis-3 diagnostic criteria (Singer et al., 2016), change in ICU admission protocols at deploying institution, or expiry of validity_horizon without NSD renewal.",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"monitoring_frequency": "monthly",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"dataset":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"name": "MIMIC-IV Clinical Database Demo",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"version": "2.2",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"license": "Open Data Commons Open Database License v1.0",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"n_patients": 100,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"n_icu_stays": 140,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"outcome_prevalence_overall": 0.414,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"outcome_prevalence_group_a": 0.481,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"outcome_prevalence_group_b": 0.333,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"train_n": 105,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"test_n": 35,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"test_n_group_a": 17,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"test_n_group_b": 18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"model":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"type": "XGBoostClassifier",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"api": "scikit-learn compatible",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"hyperparameters":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"n_estimators": 300,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"max_depth": 4,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"learning_rate": 0.05,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"subsample": 0.8,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"colsample_bytree": 0.8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"features": [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"heart_rate", "resp_rate", "sbp", "gcs_total",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"creatinine", "platelets", "wbc", "age"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],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"cross_validation": "5-fold stratified on training set",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"cv_auroc_mean": 0.884,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"cv_auroc_sd": 0.071,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"cv_auroc_range": [0.765, 0.958]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"layer_results":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"layer_1_discriminative":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"auroc_overall": 0.905,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"auroc_overall_95ci": [0.790, 0.981],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"auroc_group_a": 0.829,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"auroc_group_a_95ci": [0.569, 1.000],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"auroc_group_b": 0.961,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"auroc_group_b_95ci": [0.833, 1.000],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"invariance_testable": false,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"assumption_violations": [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"single_environment: invariance untestable — only one deployment site available in MIMIC-IV Demo"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],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"sci": null,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"paper_ref": "§4.2, Table 2",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"code_ref": "stratum/layers/layer1.py"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"layer_2_calibration":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"ece_group_a": 0.237,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"ece_group_b": 0.110,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"ece_difference": 0.127,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"calibration_threshold_specified": false,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"note": "No acceptable_ece field in NSD for this proof-of-concept run. ECE reported descriptively. Future NSD schemas should consider an explicit acceptable_ece field.",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"paper_ref": "§4.3, Table 3, Figure 1",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"code_ref": "stratum/layers/layer2.py"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"layer_3_group_fairness":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"group_col": "sex",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"groups":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"A_Male":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"n": 17,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"tp": 4,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"fn": 3,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"fp": 2,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"tn": 8,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"fnr": 0.429,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"fpr": 0.200,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"fnr_threshold": 0.15,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"fpr_threshold": 0.25,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"fnr_violation": true,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"fpr_violation": false,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"fnr_margin": 0.279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"B_Female":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"n": 18,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"tp": 6,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"fn": 1,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"fp": 0,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"tn": 11,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"fnr": 0.143,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"fpr": 0.000,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"fnr_threshold": 0.15,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"fpr_threshold": 0.25,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"fnr_violation": false,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"fpr_violation": false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"nsd_violations": [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"Group A (Male) FNR 0.429 exceeds acceptable_fnr 0.15 by margin 0.279"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],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"action_required": "Stakeholder notification required per NSD protocol before any deployment decision.",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"paper_ref": "§4.4, Table 4",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"code_ref": "stratum/layers/layer3.py"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"layer_4_intersectional":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"group_cols": ["sex", "temporal_quartile"],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"underpowered_threshold_n": 30,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"all_cells_underpowered": true,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"cells_suppressed": false,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"cells_flagged": true,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"note": "All intersectional cells n &lt; 30 due to MIMIC-IV Demo cohort size restriction (100 patients). Point estimates withheld and replaced with underpowered marker. Rows remain visible in output.",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"paper_ref": "§4.5, Table 5",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"code_ref": "stratum/layers/layer4.py"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"layer_5_temporal":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"n_quartiles": 4,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"quartile_n": [9, 9, 9, 8],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"quartile_auroc":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"T1": 1.000,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"T2": 1.000,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"T3": 0.938,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"T4": 0.714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"delta": 0.286,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"interpretation": "Wide range consistent with n approximately 8-9 per quartile. Perfect AUROC in T1 and T2 consistent with near-complete class separation in small samples rather than genuine discriminative perfection. Interpret with caution.",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"paper_ref": "§4.6, §6.3 Layer 5, Figure 4",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"code_ref": "stratum/layers/layer5.py"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"impossibility_analysis":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"base_rate_group_a": 0.481,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"base_rate_group_b": 0.333,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"base_rate_difference_pp": 14.8,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"chouldechova_identity_applies": true,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"jointly_acceptable_region_non_empty": true,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"frontier_computed_pre_training": true,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"nsd_violations_anticipated_pre_training": true,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"paper_ref": "§3.5, §6.4, Figure 3"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"transparency_artefacts":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"stratumcard_format": ["JSON", "Markdown"],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"regulatory_export_schema_version": "1.0",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"paper_ref": "§5",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"code_ref": "stratum/report.py"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},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"code":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"repository": "https://github.com/hadbierox196/stratum-eval",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"license": "Apache 2.0",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"version": "0.1.0-dev"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S4 — Data Extraction Pipeline</w:t>
      </w:r>
    </w:p>
    <w:p>
      <w:pPr>
        <w:spacing w:after="120"/>
        <w:jc w:val="left"/>
      </w:pPr>
      <w:r>
        <w:t xml:space="preserve">The following pipeline constructs the Sepsis-3 cohort from the MIMIC-IV Clinical Database Demo (v2.2). All steps reproduce exactly from the publicly available data without PhysioNet credentialing.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Step 1 — Load source tables.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import pandas as pd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import numpy as np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# Adjust paths to your Kaggle/local mount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patients      = pd.read_csv("patients.csv.gz")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admissions    = pd.read_csv("admissions.csv.gz")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icustays      = pd.read_csv("icustays.csv.gz")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chartevents   = pd.read_csv("chartevents.csv.gz")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labevents     = pd.read_csv("labevents.csv.gz")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prescriptions = pd.read_csv("prescriptions.csv.gz")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Step 2 — Define Sepsis-3 outcome.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Sepsis-3 is operationalised as co-occurrence of infection suspicion (at least one broad-spectrum antibiotic during the ICU stay) and organ dysfunction (creatinine &gt; 1.2 mg/dL or GCS &lt; 15 within the first 24 hours).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BROAD_SPECTRUM = [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"piperacillin-tazobactam", "meropenem", "imipenem", "cefepime",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"vancomycin", "metronidazole", "ciprofloxacin", "levofloxacin"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abx = prescriptions[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prescriptions["drug"].str.lower().str.contains(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"|".join(BROAD_SPECTRUM), na=False)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][["hadm_id"]].drop_duplicates()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abx["infection_suspicion"] = 1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Step 3 — Extract vitals (first 24 hours of ICU stay).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VITAL_ITEMS =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220045: "heart_rate",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220210: "resp_rate",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220179: "sbp",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220739: "gcs_total"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vitals = chartevents[chartevents["itemid"].isin(VITAL_ITEMS)].copy()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vitals["feature"] = vitals["itemid"].map(VITAL_ITEMS)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vitals = vitals.merge(icustays[["stay_id", "intime"]], on="stay_id")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vitals["hours_in"] = (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pd.to_datetime(vitals["charttime"]) -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pd.to_datetime(vitals["intime"])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).dt.total_seconds() / 3600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vitals = vitals[vitals["hours_in"].between(0, 24)]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vitals_agg = (vitals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.groupby(["stay_id", "feature"])["valuenum"]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.mean()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.unstack("feature")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.reset_index()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Step 4 — Extract labs (first 24 hours).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LAB_ITEMS =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50912: "creatinine",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51265: "platelets",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51301: "wbc"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labs = labevents[labevents["itemid"].isin(LAB_ITEMS)].copy()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labs["feature"] = labs["itemid"].map(LAB_ITEMS)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labs = labs.merge(icustays[["hadm_id", "stay_id", "intime"]], on="hadm_id")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labs["hours_in"] = (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pd.to_datetime(labs["charttime"]) -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pd.to_datetime(labs["intime"])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).dt.total_seconds() / 3600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labs = labs[labs["hours_in"].between(0, 24)]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labs_agg = (labs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.groupby(["stay_id", "feature"])["valuenum"]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.mean()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.unstack("feature")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.reset_index()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Step 5 — Merge, label, and split.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cohort = (icustays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.merge(patients[["subject_id", "anchor_age", "gender"]], on="subject_id")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.merge(vitals_agg, on="stay_id", how="left")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.merge(labs_agg,   on="stay_id", how="left")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.merge(abx,        on="hadm_id", how="left")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cohort["infection_suspicion"] = cohort["infection_suspicion"].fillna(0)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cohort["organ_dysfunction"]   = (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(cohort["creatinine"] &gt; 1.2) | (cohort["gcs_total"] &lt; 15)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).astype(int)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cohort["sepsis3"] = (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(cohort["infection_suspicion"] == 1) &amp;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(cohort["organ_dysfunction"]   == 1)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).astype(int)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cohort["age"] = cohort["anchor_age"]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cohort["sex"] = cohort["gender"]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FEATURES = ["heart_rate", "resp_rate", "sbp", "gcs_total",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"creatinine", "platelets", "wbc", "age"]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# Drop features with &gt; 50% missingness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for col in FEATURES[:]: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if cohort[col].isna().mean() &gt; 0.50: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FEATURES.remove(col)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print(f"Dropped {col}: &gt;{50}% missing")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# Median imputation on remaining features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cohort[FEATURES] = cohort[FEATURES].fillna(cohort[FEATURES].median())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from sklearn.model_selection import train_test_split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X = cohort[FEATURES]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y = cohort["sepsis3"]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groups = cohort["sex"]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X_train, X_test, y_train, y_test, g_train, g_test = train_test_split(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X, y, groups, test_size=0.25, random_state=42, stratify=y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print(f"Train n={len(X_train)} | Test n={len(X_test)}")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print(f"Overall prevalence: {y.mean():.3f}")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print(f"Group A (Male) test:   n={(g_test=='M').sum()}")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print(f"Group B (Female) test: n={(g_test=='F').sum()}")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Note on SOFA proxy.</w:t>
      </w:r>
      <w:r>
        <w:t xml:space="preserve"> The MIMIC-IV Demo does not include precomputed SOFA scores. The organ dysfunction criterion above uses a validated approximation (creatinine &gt; 1.2 mg/dL or GCS &lt; 15) consistent with published MIMIC-IV Sepsis-3 cohort construction approaches. Replication on the full MIMIC-IV dataset should use the complete SOFA score computed across all six organ subsystems.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space"/>
      <w:lvlText w:val="●"/>
      <w:lvlJc w:val="start"/>
      <w:pPr>
        <w:ind w:start="240" w:hanging="180"/>
      </w:pPr>
    </w:lvl>
    <w:lvl w:ilvl="1" w15:tentative="1">
      <w:start w:val="1"/>
      <w:numFmt w:val="bullet"/>
      <w:suff w:val="space"/>
      <w:lvlText w:val="○"/>
      <w:lvlJc w:val="start"/>
      <w:pPr>
        <w:ind w:start="660" w:hanging="180"/>
      </w:pPr>
    </w:lvl>
    <w:lvl w:ilvl="2" w15:tentative="1">
      <w:start w:val="1"/>
      <w:numFmt w:val="bullet"/>
      <w:suff w:val="space"/>
      <w:lvlText w:val="■"/>
      <w:lvlJc w:val="start"/>
      <w:pPr>
        <w:ind w:start="1080" w:hanging="180"/>
      </w:pPr>
    </w:lvl>
    <w:lvl w:ilvl="3" w15:tentative="1">
      <w:start w:val="1"/>
      <w:numFmt w:val="bullet"/>
      <w:suff w:val="space"/>
      <w:lvlText w:val="●"/>
      <w:lvlJc w:val="start"/>
      <w:pPr>
        <w:ind w:start="1500" w:hanging="180"/>
      </w:pPr>
    </w:lvl>
    <w:lvl w:ilvl="4" w15:tentative="1">
      <w:start w:val="1"/>
      <w:numFmt w:val="bullet"/>
      <w:suff w:val="space"/>
      <w:lvlText w:val="○"/>
      <w:lvlJc w:val="start"/>
      <w:pPr>
        <w:ind w:start="1920" w:hanging="180"/>
      </w:pPr>
    </w:lvl>
    <w:lvl w:ilvl="5" w15:tentative="1">
      <w:start w:val="1"/>
      <w:numFmt w:val="bullet"/>
      <w:suff w:val="space"/>
      <w:lvlText w:val="■"/>
      <w:lvlJc w:val="start"/>
      <w:pPr>
        <w:ind w:start="2340" w:hanging="180"/>
      </w:pPr>
    </w:lvl>
    <w:lvl w:ilvl="6" w15:tentative="1">
      <w:start w:val="1"/>
      <w:numFmt w:val="bullet"/>
      <w:suff w:val="space"/>
      <w:lvlText w:val="●"/>
      <w:lvlJc w:val="start"/>
      <w:pPr>
        <w:ind w:start="2760" w:hanging="180"/>
      </w:pPr>
    </w:lvl>
    <w:lvl w:ilvl="7" w15:tentative="1">
      <w:start w:val="1"/>
      <w:numFmt w:val="bullet"/>
      <w:suff w:val="space"/>
      <w:lvlText w:val="○"/>
      <w:lvlJc w:val="start"/>
      <w:pPr>
        <w:ind w:start="3180" w:hanging="180"/>
      </w:pPr>
    </w:lvl>
    <w:lvl w:ilvl="8" w15:tentative="1">
      <w:start w:val="1"/>
      <w:numFmt w:val="bullet"/>
      <w:suff w:val="space"/>
      <w:lvlText w:val="■"/>
      <w:lvlJc w:val="start"/>
      <w:pPr>
        <w:ind w:start="3600" w:hanging="1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b/>
      <w:bCs/>
      <w:color w:val="000000"/>
      <w:sz w:val="20"/>
      <w:szCs w:val="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2026-07-03T05:37:09.723Z</dcterms:created>
  <dcterms:modified xsi:type="dcterms:W3CDTF">2026-07-03T05:37:09.723Z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