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93E3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 Acid-Activated Graphene Oxide Ferroptosis Rheostat for Plaque-Targeted</w:t>
      </w:r>
      <w:r>
        <w:rPr>
          <w:rFonts w:hint="eastAsia"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Atherosclerosis Therapy</w:t>
      </w:r>
    </w:p>
    <w:p w14:paraId="07A022D1">
      <w:pPr>
        <w:jc w:val="both"/>
        <w:rPr>
          <w:rFonts w:ascii="Times New Roman" w:hAnsi="Times New Roman" w:cs="Times New Roman"/>
        </w:rPr>
      </w:pPr>
    </w:p>
    <w:p w14:paraId="04413177">
      <w:pPr>
        <w:jc w:val="both"/>
        <w:rPr>
          <w:rFonts w:ascii="Times New Roman" w:hAnsi="Times New Roman" w:cs="Times New Roman"/>
          <w:b/>
          <w:bCs/>
        </w:rPr>
      </w:pPr>
    </w:p>
    <w:p w14:paraId="54135508">
      <w:pPr>
        <w:jc w:val="both"/>
        <w:rPr>
          <w:rFonts w:ascii="Times New Roman" w:hAnsi="Times New Roman" w:cs="Times New Roman"/>
          <w:b/>
          <w:bCs/>
        </w:rPr>
      </w:pPr>
    </w:p>
    <w:p w14:paraId="04B1F398">
      <w:pPr>
        <w:jc w:val="both"/>
        <w:rPr>
          <w:rFonts w:ascii="Times New Roman" w:hAnsi="Times New Roman" w:cs="Times New Roman"/>
          <w:b/>
          <w:bCs/>
        </w:rPr>
      </w:pPr>
    </w:p>
    <w:p w14:paraId="39DABFF9">
      <w:pPr>
        <w:jc w:val="both"/>
        <w:rPr>
          <w:rFonts w:ascii="Times New Roman" w:hAnsi="Times New Roman" w:cs="Times New Roman"/>
          <w:b/>
          <w:bCs/>
        </w:rPr>
      </w:pPr>
    </w:p>
    <w:p w14:paraId="18037E50">
      <w:pPr>
        <w:jc w:val="both"/>
        <w:rPr>
          <w:rFonts w:ascii="Times New Roman" w:hAnsi="Times New Roman" w:cs="Times New Roman"/>
          <w:b/>
          <w:bCs/>
        </w:rPr>
      </w:pPr>
    </w:p>
    <w:p w14:paraId="59118825">
      <w:pPr>
        <w:jc w:val="both"/>
        <w:rPr>
          <w:rFonts w:ascii="Times New Roman" w:hAnsi="Times New Roman" w:cs="Times New Roman"/>
          <w:b/>
          <w:bCs/>
        </w:rPr>
      </w:pPr>
    </w:p>
    <w:p w14:paraId="10A0DF6B">
      <w:pPr>
        <w:jc w:val="both"/>
        <w:rPr>
          <w:rFonts w:ascii="Times New Roman" w:hAnsi="Times New Roman" w:cs="Times New Roman"/>
          <w:b/>
          <w:bCs/>
        </w:rPr>
      </w:pPr>
    </w:p>
    <w:p w14:paraId="06A7B589">
      <w:pPr>
        <w:jc w:val="both"/>
        <w:rPr>
          <w:rFonts w:ascii="Times New Roman" w:hAnsi="Times New Roman" w:cs="Times New Roman"/>
          <w:b/>
          <w:bCs/>
        </w:rPr>
      </w:pPr>
    </w:p>
    <w:p w14:paraId="6AEBFBF1">
      <w:pPr>
        <w:jc w:val="both"/>
        <w:rPr>
          <w:rFonts w:ascii="Times New Roman" w:hAnsi="Times New Roman" w:cs="Times New Roman"/>
          <w:b/>
          <w:bCs/>
        </w:rPr>
      </w:pPr>
    </w:p>
    <w:p w14:paraId="7A2D4F13">
      <w:pPr>
        <w:jc w:val="both"/>
        <w:rPr>
          <w:rFonts w:ascii="Times New Roman" w:hAnsi="Times New Roman" w:cs="Times New Roman"/>
          <w:b/>
          <w:bCs/>
        </w:rPr>
      </w:pPr>
    </w:p>
    <w:p w14:paraId="373F75ED">
      <w:pPr>
        <w:jc w:val="both"/>
        <w:rPr>
          <w:rFonts w:ascii="Times New Roman" w:hAnsi="Times New Roman" w:cs="Times New Roman"/>
          <w:b/>
          <w:bCs/>
        </w:rPr>
      </w:pPr>
    </w:p>
    <w:p w14:paraId="189BDFD7">
      <w:pPr>
        <w:jc w:val="both"/>
        <w:rPr>
          <w:rFonts w:ascii="Times New Roman" w:hAnsi="Times New Roman" w:cs="Times New Roman"/>
          <w:b/>
          <w:bCs/>
        </w:rPr>
      </w:pPr>
    </w:p>
    <w:p w14:paraId="2EE6ED4F">
      <w:pPr>
        <w:jc w:val="both"/>
        <w:rPr>
          <w:rFonts w:ascii="Times New Roman" w:hAnsi="Times New Roman" w:cs="Times New Roman"/>
          <w:b/>
          <w:bCs/>
        </w:rPr>
      </w:pPr>
    </w:p>
    <w:p w14:paraId="6C2ABDFF">
      <w:pPr>
        <w:jc w:val="both"/>
        <w:rPr>
          <w:rFonts w:ascii="Times New Roman" w:hAnsi="Times New Roman" w:cs="Times New Roman"/>
          <w:b/>
          <w:bCs/>
        </w:rPr>
      </w:pPr>
    </w:p>
    <w:p w14:paraId="3EC7D8B9">
      <w:pPr>
        <w:jc w:val="both"/>
        <w:rPr>
          <w:rFonts w:ascii="Times New Roman" w:hAnsi="Times New Roman" w:cs="Times New Roman"/>
          <w:b/>
          <w:bCs/>
        </w:rPr>
      </w:pPr>
    </w:p>
    <w:p w14:paraId="59DFA81F">
      <w:pPr>
        <w:jc w:val="both"/>
        <w:rPr>
          <w:rFonts w:ascii="Times New Roman" w:hAnsi="Times New Roman" w:cs="Times New Roman"/>
          <w:b/>
          <w:bCs/>
        </w:rPr>
      </w:pPr>
    </w:p>
    <w:p w14:paraId="2540C16E">
      <w:pPr>
        <w:jc w:val="both"/>
        <w:rPr>
          <w:rFonts w:ascii="Times New Roman" w:hAnsi="Times New Roman" w:cs="Times New Roman"/>
          <w:b/>
          <w:bCs/>
        </w:rPr>
      </w:pPr>
    </w:p>
    <w:p w14:paraId="06A90366">
      <w:pPr>
        <w:jc w:val="both"/>
        <w:rPr>
          <w:rFonts w:ascii="Times New Roman" w:hAnsi="Times New Roman" w:cs="Times New Roman"/>
          <w:b/>
          <w:bCs/>
        </w:rPr>
      </w:pPr>
    </w:p>
    <w:p w14:paraId="13D1F911">
      <w:pPr>
        <w:jc w:val="both"/>
        <w:rPr>
          <w:rFonts w:ascii="Times New Roman" w:hAnsi="Times New Roman" w:cs="Times New Roman"/>
          <w:b/>
          <w:bCs/>
        </w:rPr>
      </w:pPr>
    </w:p>
    <w:p w14:paraId="794CBC11">
      <w:pPr>
        <w:jc w:val="both"/>
        <w:rPr>
          <w:rFonts w:ascii="Times New Roman" w:hAnsi="Times New Roman" w:cs="Times New Roman"/>
          <w:b/>
          <w:bCs/>
        </w:rPr>
      </w:pPr>
    </w:p>
    <w:p w14:paraId="0FD7CF8A">
      <w:pPr>
        <w:jc w:val="both"/>
        <w:rPr>
          <w:rFonts w:ascii="Times New Roman" w:hAnsi="Times New Roman" w:cs="Times New Roman"/>
          <w:b/>
          <w:bCs/>
        </w:rPr>
      </w:pPr>
    </w:p>
    <w:p w14:paraId="6541A23E">
      <w:pPr>
        <w:jc w:val="both"/>
        <w:rPr>
          <w:rFonts w:ascii="Times New Roman" w:hAnsi="Times New Roman" w:cs="Times New Roman"/>
          <w:b/>
          <w:bCs/>
        </w:rPr>
      </w:pPr>
    </w:p>
    <w:p w14:paraId="21FA1ECF">
      <w:pPr>
        <w:jc w:val="both"/>
        <w:rPr>
          <w:rFonts w:ascii="Times New Roman" w:hAnsi="Times New Roman" w:cs="Times New Roman"/>
          <w:b/>
          <w:bCs/>
        </w:rPr>
      </w:pPr>
    </w:p>
    <w:p w14:paraId="3164078D">
      <w:pPr>
        <w:jc w:val="both"/>
        <w:rPr>
          <w:rFonts w:ascii="Times New Roman" w:hAnsi="Times New Roman" w:cs="Times New Roman"/>
          <w:b/>
          <w:bCs/>
        </w:rPr>
      </w:pPr>
    </w:p>
    <w:p w14:paraId="658283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Figure</w:t>
      </w:r>
      <w:r>
        <w:rPr>
          <w:rFonts w:hint="eastAsia" w:ascii="Times New Roman" w:hAnsi="Times New Roman" w:cs="Times New Roman"/>
          <w:b/>
          <w:bCs/>
        </w:rPr>
        <w:t>s</w:t>
      </w:r>
    </w:p>
    <w:p w14:paraId="5AF0AA66">
      <w:pPr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eastAsia="宋体" w:cs="Times New Roman"/>
          <w:sz w:val="21"/>
          <w14:ligatures w14:val="none"/>
        </w:rPr>
        <w:drawing>
          <wp:inline distT="0" distB="0" distL="0" distR="0">
            <wp:extent cx="4650740" cy="2702560"/>
            <wp:effectExtent l="0" t="0" r="1651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6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50740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27236">
      <w:pPr>
        <w:spacing w:after="0" w:line="240" w:lineRule="auto"/>
        <w:jc w:val="both"/>
        <w:rPr>
          <w:rFonts w:ascii="Times New Roman" w:hAnsi="Times New Roman" w:eastAsia="宋体" w:cs="Times New Roman"/>
          <w:sz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sz w:val="21"/>
          <w14:ligatures w14:val="none"/>
        </w:rPr>
        <w:t>Figure S1</w:t>
      </w:r>
      <w:r>
        <w:rPr>
          <w:rFonts w:ascii="Times New Roman" w:hAnsi="Times New Roman" w:eastAsia="宋体" w:cs="Times New Roman"/>
          <w:sz w:val="21"/>
          <w14:ligatures w14:val="none"/>
        </w:rPr>
        <w:t>. Detailed results of machine learning-based feature selection. (a) LASSO cross-validation plot and coefficient paths. (b) SVM-RFE recursive feature elimination accuracy trajectory. (c) Random forest variable importance plot (mean decrease in Gini) for the top 20 features from each GEO dataset.</w:t>
      </w:r>
    </w:p>
    <w:p w14:paraId="2CDC2064">
      <w:pPr>
        <w:spacing w:after="0" w:line="240" w:lineRule="auto"/>
        <w:jc w:val="both"/>
        <w:rPr>
          <w:rFonts w:ascii="Times New Roman" w:hAnsi="Times New Roman" w:eastAsia="宋体" w:cs="Times New Roman"/>
          <w:sz w:val="21"/>
          <w14:ligatures w14:val="none"/>
        </w:rPr>
      </w:pPr>
    </w:p>
    <w:p w14:paraId="51F439BD">
      <w:pPr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drawing>
          <wp:inline distT="0" distB="0" distL="0" distR="0">
            <wp:extent cx="4462780" cy="2843530"/>
            <wp:effectExtent l="0" t="0" r="13970" b="139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62780" cy="28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071A3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Figure S2</w:t>
      </w:r>
      <w:r>
        <w:rPr>
          <w:rFonts w:ascii="Times New Roman" w:hAnsi="Times New Roman" w:cs="Times New Roman"/>
          <w:sz w:val="21"/>
          <w:szCs w:val="21"/>
        </w:rPr>
        <w:t>. Competitive SPR binding assays confirming target engagement specificity. Pre-incubation of immobilized proteins with excess structural analogs (100 μM) significantly reduces quercetin binding to AKT1 and β-sitosterol binding to IL-1β.</w:t>
      </w:r>
    </w:p>
    <w:p w14:paraId="6F958563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A7C9549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D7AEB3E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5404782B">
      <w:pPr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Table S1</w:t>
      </w:r>
      <w:r>
        <w:rPr>
          <w:rFonts w:ascii="Times New Roman" w:hAnsi="Times New Roman" w:cs="Times New Roman"/>
          <w:sz w:val="21"/>
          <w:szCs w:val="21"/>
        </w:rPr>
        <w:t>. Physicochemical and surface chemical properties of GO and cGO. (n=3)</w:t>
      </w:r>
    </w:p>
    <w:tbl>
      <w:tblPr>
        <w:tblStyle w:val="16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7"/>
        <w:gridCol w:w="1292"/>
        <w:gridCol w:w="1292"/>
        <w:gridCol w:w="1908"/>
      </w:tblGrid>
      <w:tr w14:paraId="53260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363" w:type="pct"/>
            <w:shd w:val="clear" w:color="auto" w:fill="0C0C0C" w:themeFill="text1" w:themeFillTint="F2"/>
            <w:vAlign w:val="center"/>
          </w:tcPr>
          <w:p w14:paraId="4A82F06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Parameter</w:t>
            </w:r>
          </w:p>
        </w:tc>
        <w:tc>
          <w:tcPr>
            <w:tcW w:w="758" w:type="pct"/>
            <w:shd w:val="clear" w:color="auto" w:fill="0C0C0C" w:themeFill="text1" w:themeFillTint="F2"/>
            <w:vAlign w:val="center"/>
          </w:tcPr>
          <w:p w14:paraId="1C4E412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GO</w:t>
            </w:r>
          </w:p>
        </w:tc>
        <w:tc>
          <w:tcPr>
            <w:tcW w:w="758" w:type="pct"/>
            <w:shd w:val="clear" w:color="auto" w:fill="0C0C0C" w:themeFill="text1" w:themeFillTint="F2"/>
            <w:vAlign w:val="center"/>
          </w:tcPr>
          <w:p w14:paraId="0126D19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cGO</w:t>
            </w:r>
          </w:p>
        </w:tc>
        <w:tc>
          <w:tcPr>
            <w:tcW w:w="1119" w:type="pct"/>
            <w:shd w:val="clear" w:color="auto" w:fill="0C0C0C" w:themeFill="text1" w:themeFillTint="F2"/>
            <w:vAlign w:val="center"/>
          </w:tcPr>
          <w:p w14:paraId="49440FF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Method</w:t>
            </w:r>
          </w:p>
        </w:tc>
      </w:tr>
      <w:tr w14:paraId="0B97C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63" w:type="pct"/>
            <w:shd w:val="clear" w:color="auto" w:fill="F1F1F1" w:themeFill="background1" w:themeFillShade="F2"/>
            <w:vAlign w:val="center"/>
          </w:tcPr>
          <w:p w14:paraId="74E2738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Lateral size (nm)</w:t>
            </w:r>
          </w:p>
        </w:tc>
        <w:tc>
          <w:tcPr>
            <w:tcW w:w="758" w:type="pct"/>
            <w:shd w:val="clear" w:color="auto" w:fill="F1F1F1" w:themeFill="background1" w:themeFillShade="F2"/>
            <w:vAlign w:val="center"/>
          </w:tcPr>
          <w:p w14:paraId="2E76C5B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520±160</w:t>
            </w:r>
          </w:p>
        </w:tc>
        <w:tc>
          <w:tcPr>
            <w:tcW w:w="758" w:type="pct"/>
            <w:shd w:val="clear" w:color="auto" w:fill="F1F1F1" w:themeFill="background1" w:themeFillShade="F2"/>
            <w:vAlign w:val="center"/>
          </w:tcPr>
          <w:p w14:paraId="1D8B652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540±170</w:t>
            </w:r>
          </w:p>
        </w:tc>
        <w:tc>
          <w:tcPr>
            <w:tcW w:w="1119" w:type="pct"/>
            <w:shd w:val="clear" w:color="auto" w:fill="F1F1F1" w:themeFill="background1" w:themeFillShade="F2"/>
            <w:vAlign w:val="center"/>
          </w:tcPr>
          <w:p w14:paraId="07B37B8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AFM</w:t>
            </w:r>
          </w:p>
        </w:tc>
      </w:tr>
      <w:tr w14:paraId="5F89B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63" w:type="pct"/>
            <w:shd w:val="clear" w:color="auto" w:fill="F1F1F1" w:themeFill="background1" w:themeFillShade="F2"/>
            <w:vAlign w:val="center"/>
          </w:tcPr>
          <w:p w14:paraId="58690B2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Thickness (nm)</w:t>
            </w:r>
          </w:p>
        </w:tc>
        <w:tc>
          <w:tcPr>
            <w:tcW w:w="758" w:type="pct"/>
            <w:shd w:val="clear" w:color="auto" w:fill="F1F1F1" w:themeFill="background1" w:themeFillShade="F2"/>
            <w:vAlign w:val="center"/>
          </w:tcPr>
          <w:p w14:paraId="50DEF84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1.05±0.18</w:t>
            </w:r>
          </w:p>
        </w:tc>
        <w:tc>
          <w:tcPr>
            <w:tcW w:w="758" w:type="pct"/>
            <w:shd w:val="clear" w:color="auto" w:fill="F1F1F1" w:themeFill="background1" w:themeFillShade="F2"/>
            <w:vAlign w:val="center"/>
          </w:tcPr>
          <w:p w14:paraId="14E8368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1.02±0.16</w:t>
            </w:r>
          </w:p>
        </w:tc>
        <w:tc>
          <w:tcPr>
            <w:tcW w:w="1119" w:type="pct"/>
            <w:shd w:val="clear" w:color="auto" w:fill="F1F1F1" w:themeFill="background1" w:themeFillShade="F2"/>
            <w:vAlign w:val="center"/>
          </w:tcPr>
          <w:p w14:paraId="2B7FC3D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AFM</w:t>
            </w:r>
          </w:p>
        </w:tc>
      </w:tr>
      <w:tr w14:paraId="4F93B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63" w:type="pct"/>
            <w:shd w:val="clear" w:color="auto" w:fill="F1F1F1" w:themeFill="background1" w:themeFillShade="F2"/>
            <w:vAlign w:val="center"/>
          </w:tcPr>
          <w:p w14:paraId="41245B1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Hydrodynamic diameter (nm)</w:t>
            </w:r>
          </w:p>
        </w:tc>
        <w:tc>
          <w:tcPr>
            <w:tcW w:w="758" w:type="pct"/>
            <w:shd w:val="clear" w:color="auto" w:fill="F1F1F1" w:themeFill="background1" w:themeFillShade="F2"/>
            <w:vAlign w:val="center"/>
          </w:tcPr>
          <w:p w14:paraId="2AC7E33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612±96</w:t>
            </w:r>
          </w:p>
        </w:tc>
        <w:tc>
          <w:tcPr>
            <w:tcW w:w="758" w:type="pct"/>
            <w:shd w:val="clear" w:color="auto" w:fill="F1F1F1" w:themeFill="background1" w:themeFillShade="F2"/>
            <w:vAlign w:val="center"/>
          </w:tcPr>
          <w:p w14:paraId="5163941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638±101</w:t>
            </w:r>
          </w:p>
        </w:tc>
        <w:tc>
          <w:tcPr>
            <w:tcW w:w="1119" w:type="pct"/>
            <w:shd w:val="clear" w:color="auto" w:fill="F1F1F1" w:themeFill="background1" w:themeFillShade="F2"/>
            <w:vAlign w:val="center"/>
          </w:tcPr>
          <w:p w14:paraId="7435D0A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DLS</w:t>
            </w:r>
          </w:p>
        </w:tc>
      </w:tr>
      <w:tr w14:paraId="6A8E3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63" w:type="pct"/>
            <w:shd w:val="clear" w:color="auto" w:fill="F1F1F1" w:themeFill="background1" w:themeFillShade="F2"/>
            <w:vAlign w:val="center"/>
          </w:tcPr>
          <w:p w14:paraId="705DCF5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Polydispersity index (PDI)</w:t>
            </w:r>
          </w:p>
        </w:tc>
        <w:tc>
          <w:tcPr>
            <w:tcW w:w="758" w:type="pct"/>
            <w:shd w:val="clear" w:color="auto" w:fill="F1F1F1" w:themeFill="background1" w:themeFillShade="F2"/>
            <w:vAlign w:val="center"/>
          </w:tcPr>
          <w:p w14:paraId="59E7555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0.23±0.04</w:t>
            </w:r>
          </w:p>
        </w:tc>
        <w:tc>
          <w:tcPr>
            <w:tcW w:w="758" w:type="pct"/>
            <w:shd w:val="clear" w:color="auto" w:fill="F1F1F1" w:themeFill="background1" w:themeFillShade="F2"/>
            <w:vAlign w:val="center"/>
          </w:tcPr>
          <w:p w14:paraId="1AC2528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0.24±0.04</w:t>
            </w:r>
          </w:p>
        </w:tc>
        <w:tc>
          <w:tcPr>
            <w:tcW w:w="1119" w:type="pct"/>
            <w:shd w:val="clear" w:color="auto" w:fill="F1F1F1" w:themeFill="background1" w:themeFillShade="F2"/>
            <w:vAlign w:val="center"/>
          </w:tcPr>
          <w:p w14:paraId="2BE425E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DLS</w:t>
            </w:r>
          </w:p>
        </w:tc>
      </w:tr>
      <w:tr w14:paraId="2CD67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63" w:type="pct"/>
            <w:shd w:val="clear" w:color="auto" w:fill="F1F1F1" w:themeFill="background1" w:themeFillShade="F2"/>
            <w:vAlign w:val="center"/>
          </w:tcPr>
          <w:p w14:paraId="6C97224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Zeta potential (mV)</w:t>
            </w:r>
          </w:p>
        </w:tc>
        <w:tc>
          <w:tcPr>
            <w:tcW w:w="758" w:type="pct"/>
            <w:shd w:val="clear" w:color="auto" w:fill="F1F1F1" w:themeFill="background1" w:themeFillShade="F2"/>
            <w:vAlign w:val="center"/>
          </w:tcPr>
          <w:p w14:paraId="7D0AA16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-39.6±3.2</w:t>
            </w:r>
          </w:p>
        </w:tc>
        <w:tc>
          <w:tcPr>
            <w:tcW w:w="758" w:type="pct"/>
            <w:shd w:val="clear" w:color="auto" w:fill="F1F1F1" w:themeFill="background1" w:themeFillShade="F2"/>
            <w:vAlign w:val="center"/>
          </w:tcPr>
          <w:p w14:paraId="1BDE113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-38.1±3.1</w:t>
            </w:r>
          </w:p>
        </w:tc>
        <w:tc>
          <w:tcPr>
            <w:tcW w:w="1119" w:type="pct"/>
            <w:shd w:val="clear" w:color="auto" w:fill="F1F1F1" w:themeFill="background1" w:themeFillShade="F2"/>
            <w:vAlign w:val="center"/>
          </w:tcPr>
          <w:p w14:paraId="3147DC2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ELS</w:t>
            </w:r>
          </w:p>
        </w:tc>
      </w:tr>
      <w:tr w14:paraId="2C899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63" w:type="pct"/>
            <w:shd w:val="clear" w:color="auto" w:fill="F1F1F1" w:themeFill="background1" w:themeFillShade="F2"/>
            <w:vAlign w:val="center"/>
          </w:tcPr>
          <w:p w14:paraId="3AE22AE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C/O atomic ratio</w:t>
            </w:r>
          </w:p>
        </w:tc>
        <w:tc>
          <w:tcPr>
            <w:tcW w:w="758" w:type="pct"/>
            <w:shd w:val="clear" w:color="auto" w:fill="F1F1F1" w:themeFill="background1" w:themeFillShade="F2"/>
            <w:vAlign w:val="center"/>
          </w:tcPr>
          <w:p w14:paraId="11947D4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2.31±0.10</w:t>
            </w:r>
          </w:p>
        </w:tc>
        <w:tc>
          <w:tcPr>
            <w:tcW w:w="758" w:type="pct"/>
            <w:shd w:val="clear" w:color="auto" w:fill="F1F1F1" w:themeFill="background1" w:themeFillShade="F2"/>
            <w:vAlign w:val="center"/>
          </w:tcPr>
          <w:p w14:paraId="0897618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2.28±0.09</w:t>
            </w:r>
          </w:p>
        </w:tc>
        <w:tc>
          <w:tcPr>
            <w:tcW w:w="1119" w:type="pct"/>
            <w:shd w:val="clear" w:color="auto" w:fill="F1F1F1" w:themeFill="background1" w:themeFillShade="F2"/>
            <w:vAlign w:val="center"/>
          </w:tcPr>
          <w:p w14:paraId="3284D26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XPS</w:t>
            </w:r>
          </w:p>
        </w:tc>
      </w:tr>
      <w:tr w14:paraId="06FCA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63" w:type="pct"/>
            <w:shd w:val="clear" w:color="auto" w:fill="F1F1F1" w:themeFill="background1" w:themeFillShade="F2"/>
            <w:vAlign w:val="center"/>
          </w:tcPr>
          <w:p w14:paraId="35B6194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Raman ID/IG ratio</w:t>
            </w:r>
          </w:p>
        </w:tc>
        <w:tc>
          <w:tcPr>
            <w:tcW w:w="758" w:type="pct"/>
            <w:shd w:val="clear" w:color="auto" w:fill="F1F1F1" w:themeFill="background1" w:themeFillShade="F2"/>
            <w:vAlign w:val="center"/>
          </w:tcPr>
          <w:p w14:paraId="25F57C1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1.02±0.05</w:t>
            </w:r>
          </w:p>
        </w:tc>
        <w:tc>
          <w:tcPr>
            <w:tcW w:w="758" w:type="pct"/>
            <w:shd w:val="clear" w:color="auto" w:fill="F1F1F1" w:themeFill="background1" w:themeFillShade="F2"/>
            <w:vAlign w:val="center"/>
          </w:tcPr>
          <w:p w14:paraId="55A70F8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1.01±0.05</w:t>
            </w:r>
          </w:p>
        </w:tc>
        <w:tc>
          <w:tcPr>
            <w:tcW w:w="1119" w:type="pct"/>
            <w:shd w:val="clear" w:color="auto" w:fill="F1F1F1" w:themeFill="background1" w:themeFillShade="F2"/>
            <w:vAlign w:val="center"/>
          </w:tcPr>
          <w:p w14:paraId="3EE8E09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Raman(532 nm)</w:t>
            </w:r>
          </w:p>
        </w:tc>
      </w:tr>
      <w:tr w14:paraId="18529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63" w:type="pct"/>
            <w:shd w:val="clear" w:color="auto" w:fill="F1F1F1" w:themeFill="background1" w:themeFillShade="F2"/>
            <w:vAlign w:val="center"/>
          </w:tcPr>
          <w:p w14:paraId="25490D7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Endotoxin level (EU mg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758" w:type="pct"/>
            <w:shd w:val="clear" w:color="auto" w:fill="F1F1F1" w:themeFill="background1" w:themeFillShade="F2"/>
            <w:vAlign w:val="center"/>
          </w:tcPr>
          <w:p w14:paraId="7E95DB5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0.18±0.06</w:t>
            </w:r>
          </w:p>
        </w:tc>
        <w:tc>
          <w:tcPr>
            <w:tcW w:w="758" w:type="pct"/>
            <w:shd w:val="clear" w:color="auto" w:fill="F1F1F1" w:themeFill="background1" w:themeFillShade="F2"/>
            <w:vAlign w:val="center"/>
          </w:tcPr>
          <w:p w14:paraId="560CFF1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0.17±0.05</w:t>
            </w:r>
          </w:p>
        </w:tc>
        <w:tc>
          <w:tcPr>
            <w:tcW w:w="1119" w:type="pct"/>
            <w:shd w:val="clear" w:color="auto" w:fill="F1F1F1" w:themeFill="background1" w:themeFillShade="F2"/>
            <w:vAlign w:val="center"/>
          </w:tcPr>
          <w:p w14:paraId="3D6CF72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LAL assay(562 nm)</w:t>
            </w:r>
          </w:p>
        </w:tc>
      </w:tr>
      <w:tr w14:paraId="2320F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63" w:type="pct"/>
            <w:shd w:val="clear" w:color="auto" w:fill="F1F1F1" w:themeFill="background1" w:themeFillShade="F2"/>
            <w:vAlign w:val="center"/>
          </w:tcPr>
          <w:p w14:paraId="3314B36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Fe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</w:rPr>
              <w:t>3+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-to Fe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</w:rPr>
              <w:t>2+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reduction rate at pH6.5 (min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758" w:type="pct"/>
            <w:shd w:val="clear" w:color="auto" w:fill="F1F1F1" w:themeFill="background1" w:themeFillShade="F2"/>
            <w:vAlign w:val="center"/>
          </w:tcPr>
          <w:p w14:paraId="3C322FE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0.215±0.018</w:t>
            </w:r>
          </w:p>
        </w:tc>
        <w:tc>
          <w:tcPr>
            <w:tcW w:w="758" w:type="pct"/>
            <w:shd w:val="clear" w:color="auto" w:fill="F1F1F1" w:themeFill="background1" w:themeFillShade="F2"/>
            <w:vAlign w:val="center"/>
          </w:tcPr>
          <w:p w14:paraId="6C65B74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0.086±0.010</w:t>
            </w:r>
          </w:p>
        </w:tc>
        <w:tc>
          <w:tcPr>
            <w:tcW w:w="1119" w:type="pct"/>
            <w:shd w:val="clear" w:color="auto" w:fill="F1F1F1" w:themeFill="background1" w:themeFillShade="F2"/>
            <w:vAlign w:val="center"/>
          </w:tcPr>
          <w:p w14:paraId="4531D0B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UV-Vis(562 nm)</w:t>
            </w:r>
          </w:p>
        </w:tc>
      </w:tr>
      <w:tr w14:paraId="15921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63" w:type="pct"/>
            <w:shd w:val="clear" w:color="auto" w:fill="F1F1F1" w:themeFill="background1" w:themeFillShade="F2"/>
            <w:vAlign w:val="center"/>
          </w:tcPr>
          <w:p w14:paraId="43D2740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Fe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</w:rPr>
              <w:t>3+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-to Fe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</w:rPr>
              <w:t>2+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reduction rate at pH7.4 (min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758" w:type="pct"/>
            <w:shd w:val="clear" w:color="auto" w:fill="F1F1F1" w:themeFill="background1" w:themeFillShade="F2"/>
            <w:vAlign w:val="center"/>
          </w:tcPr>
          <w:p w14:paraId="7BB97C8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0.091±0.009</w:t>
            </w:r>
          </w:p>
        </w:tc>
        <w:tc>
          <w:tcPr>
            <w:tcW w:w="758" w:type="pct"/>
            <w:shd w:val="clear" w:color="auto" w:fill="F1F1F1" w:themeFill="background1" w:themeFillShade="F2"/>
            <w:vAlign w:val="center"/>
          </w:tcPr>
          <w:p w14:paraId="15EBB81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0.034±0.005</w:t>
            </w:r>
          </w:p>
        </w:tc>
        <w:tc>
          <w:tcPr>
            <w:tcW w:w="1119" w:type="pct"/>
            <w:shd w:val="clear" w:color="auto" w:fill="F1F1F1" w:themeFill="background1" w:themeFillShade="F2"/>
            <w:vAlign w:val="center"/>
          </w:tcPr>
          <w:p w14:paraId="5C67CF8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UV-Vis(562 nm)</w:t>
            </w:r>
          </w:p>
        </w:tc>
      </w:tr>
    </w:tbl>
    <w:p w14:paraId="1FF31C0B">
      <w:pPr>
        <w:rPr>
          <w:rFonts w:ascii="Times New Roman" w:hAnsi="Times New Roman" w:cs="Times New Roman"/>
          <w:sz w:val="21"/>
          <w:szCs w:val="21"/>
        </w:rPr>
      </w:pPr>
    </w:p>
    <w:p w14:paraId="4C879ECC">
      <w:pPr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drawing>
          <wp:inline distT="0" distB="0" distL="0" distR="0">
            <wp:extent cx="5232400" cy="3215640"/>
            <wp:effectExtent l="0" t="0" r="0" b="0"/>
            <wp:docPr id="13" name="图片 13" descr="/Users/jinwang/Library/Containers/com.kingsoft.wpsoffice.mac/Data/tmp/photoeditapp/20260514112838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/Users/jinwang/Library/Containers/com.kingsoft.wpsoffice.mac/Data/tmp/photoeditapp/20260514112838/temp.pngte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12000"/>
                    </a:blip>
                    <a:srcRect l="277" t="1027" r="625" b="853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13D1D">
      <w:pPr>
        <w:spacing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Figure S3</w:t>
      </w:r>
      <w:r>
        <w:rPr>
          <w:rFonts w:ascii="Times New Roman" w:hAnsi="Times New Roman" w:cs="Times New Roman"/>
          <w:sz w:val="21"/>
          <w:szCs w:val="21"/>
        </w:rPr>
        <w:t xml:space="preserve">. Synergy analysis and cytotoxicity screening for drug ratio optimization. </w:t>
      </w:r>
      <w:bookmarkStart w:id="2" w:name="_GoBack"/>
      <w:bookmarkEnd w:id="2"/>
    </w:p>
    <w:p w14:paraId="05057CED">
      <w:pPr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Table S2. </w:t>
      </w:r>
      <w:r>
        <w:rPr>
          <w:rFonts w:ascii="Times New Roman" w:hAnsi="Times New Roman" w:cs="Times New Roman"/>
          <w:sz w:val="21"/>
          <w:szCs w:val="21"/>
        </w:rPr>
        <w:t>Drug loading content,encapsulation efficiency, and release characteristics of GO@Drug and cGO@Drug.</w:t>
      </w:r>
    </w:p>
    <w:tbl>
      <w:tblPr>
        <w:tblStyle w:val="16"/>
        <w:tblW w:w="5000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028"/>
        <w:gridCol w:w="983"/>
        <w:gridCol w:w="1542"/>
        <w:gridCol w:w="1172"/>
        <w:gridCol w:w="1172"/>
        <w:gridCol w:w="1439"/>
      </w:tblGrid>
      <w:tr w14:paraId="464D66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95" w:type="pct"/>
            <w:tcBorders>
              <w:top w:val="single" w:color="auto" w:sz="4" w:space="0"/>
              <w:bottom w:val="single" w:color="auto" w:sz="4" w:space="0"/>
            </w:tcBorders>
            <w:shd w:val="clear" w:color="auto" w:fill="0C0C0C" w:themeFill="text1" w:themeFillTint="F2"/>
            <w:vAlign w:val="center"/>
          </w:tcPr>
          <w:p w14:paraId="3E9643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Formulation</w:t>
            </w:r>
          </w:p>
        </w:tc>
        <w:tc>
          <w:tcPr>
            <w:tcW w:w="603" w:type="pct"/>
            <w:tcBorders>
              <w:top w:val="single" w:color="auto" w:sz="4" w:space="0"/>
              <w:bottom w:val="single" w:color="auto" w:sz="4" w:space="0"/>
            </w:tcBorders>
            <w:shd w:val="clear" w:color="auto" w:fill="0C0C0C" w:themeFill="text1" w:themeFillTint="F2"/>
            <w:vAlign w:val="center"/>
          </w:tcPr>
          <w:p w14:paraId="25A8503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Drug</w:t>
            </w:r>
          </w:p>
        </w:tc>
        <w:tc>
          <w:tcPr>
            <w:tcW w:w="577" w:type="pct"/>
            <w:tcBorders>
              <w:top w:val="single" w:color="auto" w:sz="4" w:space="0"/>
              <w:bottom w:val="single" w:color="auto" w:sz="4" w:space="0"/>
            </w:tcBorders>
            <w:shd w:val="clear" w:color="auto" w:fill="0C0C0C" w:themeFill="text1" w:themeFillTint="F2"/>
            <w:vAlign w:val="center"/>
          </w:tcPr>
          <w:p w14:paraId="4519B86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Loading content</w:t>
            </w:r>
          </w:p>
          <w:p w14:paraId="06C4154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(wt%)</w:t>
            </w:r>
          </w:p>
        </w:tc>
        <w:tc>
          <w:tcPr>
            <w:tcW w:w="904" w:type="pct"/>
            <w:tcBorders>
              <w:top w:val="single" w:color="auto" w:sz="4" w:space="0"/>
              <w:bottom w:val="single" w:color="auto" w:sz="4" w:space="0"/>
            </w:tcBorders>
            <w:shd w:val="clear" w:color="auto" w:fill="0C0C0C" w:themeFill="text1" w:themeFillTint="F2"/>
            <w:vAlign w:val="center"/>
          </w:tcPr>
          <w:p w14:paraId="2B70C75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Encapsulation efficiency(%)</w:t>
            </w:r>
          </w:p>
        </w:tc>
        <w:tc>
          <w:tcPr>
            <w:tcW w:w="687" w:type="pct"/>
            <w:tcBorders>
              <w:top w:val="single" w:color="auto" w:sz="4" w:space="0"/>
              <w:bottom w:val="single" w:color="auto" w:sz="4" w:space="0"/>
            </w:tcBorders>
            <w:shd w:val="clear" w:color="auto" w:fill="0C0C0C" w:themeFill="text1" w:themeFillTint="F2"/>
            <w:vAlign w:val="center"/>
          </w:tcPr>
          <w:p w14:paraId="209C353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Release at pH 7.4 at 48h(%)</w:t>
            </w:r>
          </w:p>
        </w:tc>
        <w:tc>
          <w:tcPr>
            <w:tcW w:w="687" w:type="pct"/>
            <w:tcBorders>
              <w:top w:val="single" w:color="auto" w:sz="4" w:space="0"/>
              <w:bottom w:val="single" w:color="auto" w:sz="4" w:space="0"/>
            </w:tcBorders>
            <w:shd w:val="clear" w:color="auto" w:fill="0C0C0C" w:themeFill="text1" w:themeFillTint="F2"/>
            <w:vAlign w:val="center"/>
          </w:tcPr>
          <w:p w14:paraId="23B1517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Release at pH 6.5 at 48h(%)</w:t>
            </w:r>
          </w:p>
        </w:tc>
        <w:tc>
          <w:tcPr>
            <w:tcW w:w="844" w:type="pct"/>
            <w:tcBorders>
              <w:top w:val="single" w:color="auto" w:sz="4" w:space="0"/>
              <w:bottom w:val="single" w:color="auto" w:sz="4" w:space="0"/>
            </w:tcBorders>
            <w:shd w:val="clear" w:color="auto" w:fill="0C0C0C" w:themeFill="text1" w:themeFillTint="F2"/>
            <w:vAlign w:val="center"/>
          </w:tcPr>
          <w:p w14:paraId="648E688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Notes</w:t>
            </w:r>
          </w:p>
        </w:tc>
      </w:tr>
      <w:tr w14:paraId="6E5A96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95" w:type="pct"/>
            <w:tcBorders>
              <w:top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251CE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229640301"/>
            <w:r>
              <w:rPr>
                <w:rFonts w:ascii="Times New Roman" w:hAnsi="Times New Roman" w:cs="Times New Roman"/>
                <w:sz w:val="18"/>
                <w:szCs w:val="18"/>
              </w:rPr>
              <w:t>GO@Drug</w:t>
            </w:r>
          </w:p>
        </w:tc>
        <w:tc>
          <w:tcPr>
            <w:tcW w:w="603" w:type="pct"/>
            <w:tcBorders>
              <w:top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377E322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quercetin</w:t>
            </w:r>
          </w:p>
        </w:tc>
        <w:tc>
          <w:tcPr>
            <w:tcW w:w="577" w:type="pct"/>
            <w:tcBorders>
              <w:top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7F55BF4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18.7±1.4</w:t>
            </w:r>
          </w:p>
        </w:tc>
        <w:tc>
          <w:tcPr>
            <w:tcW w:w="904" w:type="pct"/>
            <w:tcBorders>
              <w:top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1797F5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83.6±3.2</w:t>
            </w:r>
          </w:p>
        </w:tc>
        <w:tc>
          <w:tcPr>
            <w:tcW w:w="687" w:type="pct"/>
            <w:tcBorders>
              <w:top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3BBEF41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28.4±2.1</w:t>
            </w:r>
          </w:p>
        </w:tc>
        <w:tc>
          <w:tcPr>
            <w:tcW w:w="687" w:type="pct"/>
            <w:tcBorders>
              <w:top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7A654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72.6±3.7</w:t>
            </w:r>
          </w:p>
        </w:tc>
        <w:tc>
          <w:tcPr>
            <w:tcW w:w="844" w:type="pct"/>
            <w:tcBorders>
              <w:top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3312AB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pH-reponsive release</w:t>
            </w:r>
          </w:p>
        </w:tc>
      </w:tr>
      <w:tr w14:paraId="7E1727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95" w:type="pct"/>
            <w:shd w:val="clear" w:color="auto" w:fill="F1F1F1" w:themeFill="background1" w:themeFillShade="F2"/>
            <w:vAlign w:val="center"/>
          </w:tcPr>
          <w:p w14:paraId="245788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GO@Drug</w:t>
            </w:r>
          </w:p>
        </w:tc>
        <w:tc>
          <w:tcPr>
            <w:tcW w:w="603" w:type="pct"/>
            <w:shd w:val="clear" w:color="auto" w:fill="F1F1F1" w:themeFill="background1" w:themeFillShade="F2"/>
            <w:vAlign w:val="center"/>
          </w:tcPr>
          <w:p w14:paraId="4D1289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β-sitosterol</w:t>
            </w:r>
          </w:p>
        </w:tc>
        <w:tc>
          <w:tcPr>
            <w:tcW w:w="577" w:type="pct"/>
            <w:shd w:val="clear" w:color="auto" w:fill="F1F1F1" w:themeFill="background1" w:themeFillShade="F2"/>
            <w:vAlign w:val="center"/>
          </w:tcPr>
          <w:p w14:paraId="5B3822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32.1±2.1</w:t>
            </w:r>
          </w:p>
        </w:tc>
        <w:tc>
          <w:tcPr>
            <w:tcW w:w="904" w:type="pct"/>
            <w:shd w:val="clear" w:color="auto" w:fill="F1F1F1" w:themeFill="background1" w:themeFillShade="F2"/>
            <w:vAlign w:val="center"/>
          </w:tcPr>
          <w:p w14:paraId="138186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89.2±3.6</w:t>
            </w:r>
          </w:p>
        </w:tc>
        <w:tc>
          <w:tcPr>
            <w:tcW w:w="687" w:type="pct"/>
            <w:shd w:val="clear" w:color="auto" w:fill="F1F1F1" w:themeFill="background1" w:themeFillShade="F2"/>
            <w:vAlign w:val="center"/>
          </w:tcPr>
          <w:p w14:paraId="6B1E5A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21.7±1.8</w:t>
            </w:r>
          </w:p>
        </w:tc>
        <w:tc>
          <w:tcPr>
            <w:tcW w:w="687" w:type="pct"/>
            <w:shd w:val="clear" w:color="auto" w:fill="F1F1F1" w:themeFill="background1" w:themeFillShade="F2"/>
            <w:vAlign w:val="center"/>
          </w:tcPr>
          <w:p w14:paraId="067408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68.9±3.4</w:t>
            </w:r>
          </w:p>
        </w:tc>
        <w:tc>
          <w:tcPr>
            <w:tcW w:w="844" w:type="pct"/>
            <w:shd w:val="clear" w:color="auto" w:fill="F1F1F1" w:themeFill="background1" w:themeFillShade="F2"/>
            <w:vAlign w:val="center"/>
          </w:tcPr>
          <w:p w14:paraId="2C70CA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pH-reponsive release</w:t>
            </w:r>
          </w:p>
        </w:tc>
      </w:tr>
      <w:bookmarkEnd w:id="0"/>
      <w:tr w14:paraId="5C2D65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95" w:type="pct"/>
            <w:shd w:val="clear" w:color="auto" w:fill="F1F1F1" w:themeFill="background1" w:themeFillShade="F2"/>
            <w:vAlign w:val="center"/>
          </w:tcPr>
          <w:p w14:paraId="59587CB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cGO@Drug</w:t>
            </w:r>
          </w:p>
        </w:tc>
        <w:tc>
          <w:tcPr>
            <w:tcW w:w="603" w:type="pct"/>
            <w:shd w:val="clear" w:color="auto" w:fill="F1F1F1" w:themeFill="background1" w:themeFillShade="F2"/>
            <w:vAlign w:val="center"/>
          </w:tcPr>
          <w:p w14:paraId="32B482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quercetin</w:t>
            </w:r>
          </w:p>
        </w:tc>
        <w:tc>
          <w:tcPr>
            <w:tcW w:w="577" w:type="pct"/>
            <w:shd w:val="clear" w:color="auto" w:fill="F1F1F1" w:themeFill="background1" w:themeFillShade="F2"/>
            <w:vAlign w:val="center"/>
          </w:tcPr>
          <w:p w14:paraId="51FE0C3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21.3±1.6</w:t>
            </w:r>
          </w:p>
        </w:tc>
        <w:tc>
          <w:tcPr>
            <w:tcW w:w="904" w:type="pct"/>
            <w:shd w:val="clear" w:color="auto" w:fill="F1F1F1" w:themeFill="background1" w:themeFillShade="F2"/>
            <w:vAlign w:val="center"/>
          </w:tcPr>
          <w:p w14:paraId="1A274C8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88.9±3.1</w:t>
            </w:r>
          </w:p>
        </w:tc>
        <w:tc>
          <w:tcPr>
            <w:tcW w:w="687" w:type="pct"/>
            <w:shd w:val="clear" w:color="auto" w:fill="F1F1F1" w:themeFill="background1" w:themeFillShade="F2"/>
            <w:vAlign w:val="center"/>
          </w:tcPr>
          <w:p w14:paraId="70B0D4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33.1±2.4</w:t>
            </w:r>
          </w:p>
        </w:tc>
        <w:tc>
          <w:tcPr>
            <w:tcW w:w="687" w:type="pct"/>
            <w:shd w:val="clear" w:color="auto" w:fill="F1F1F1" w:themeFill="background1" w:themeFillShade="F2"/>
            <w:vAlign w:val="center"/>
          </w:tcPr>
          <w:p w14:paraId="4ADDC80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81.2±3.9</w:t>
            </w:r>
          </w:p>
        </w:tc>
        <w:tc>
          <w:tcPr>
            <w:tcW w:w="844" w:type="pct"/>
            <w:shd w:val="clear" w:color="auto" w:fill="F1F1F1" w:themeFill="background1" w:themeFillShade="F2"/>
            <w:vAlign w:val="center"/>
          </w:tcPr>
          <w:p w14:paraId="395064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Enhanced loading and release</w:t>
            </w:r>
          </w:p>
        </w:tc>
      </w:tr>
      <w:tr w14:paraId="740FD1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95" w:type="pct"/>
            <w:shd w:val="clear" w:color="auto" w:fill="F1F1F1" w:themeFill="background1" w:themeFillShade="F2"/>
            <w:vAlign w:val="center"/>
          </w:tcPr>
          <w:p w14:paraId="54A1DD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cGO@Drug</w:t>
            </w:r>
          </w:p>
        </w:tc>
        <w:tc>
          <w:tcPr>
            <w:tcW w:w="603" w:type="pct"/>
            <w:shd w:val="clear" w:color="auto" w:fill="F1F1F1" w:themeFill="background1" w:themeFillShade="F2"/>
            <w:vAlign w:val="center"/>
          </w:tcPr>
          <w:p w14:paraId="60B4F7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β-sitosterol</w:t>
            </w:r>
          </w:p>
        </w:tc>
        <w:tc>
          <w:tcPr>
            <w:tcW w:w="577" w:type="pct"/>
            <w:shd w:val="clear" w:color="auto" w:fill="F1F1F1" w:themeFill="background1" w:themeFillShade="F2"/>
            <w:vAlign w:val="center"/>
          </w:tcPr>
          <w:p w14:paraId="19755F4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35.4±2.2</w:t>
            </w:r>
          </w:p>
        </w:tc>
        <w:tc>
          <w:tcPr>
            <w:tcW w:w="904" w:type="pct"/>
            <w:shd w:val="clear" w:color="auto" w:fill="F1F1F1" w:themeFill="background1" w:themeFillShade="F2"/>
            <w:vAlign w:val="center"/>
          </w:tcPr>
          <w:p w14:paraId="46D5B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92.7±3.4</w:t>
            </w:r>
          </w:p>
        </w:tc>
        <w:tc>
          <w:tcPr>
            <w:tcW w:w="687" w:type="pct"/>
            <w:shd w:val="clear" w:color="auto" w:fill="F1F1F1" w:themeFill="background1" w:themeFillShade="F2"/>
            <w:vAlign w:val="center"/>
          </w:tcPr>
          <w:p w14:paraId="0EDAC9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24.6±1.9</w:t>
            </w:r>
          </w:p>
        </w:tc>
        <w:tc>
          <w:tcPr>
            <w:tcW w:w="687" w:type="pct"/>
            <w:shd w:val="clear" w:color="auto" w:fill="F1F1F1" w:themeFill="background1" w:themeFillShade="F2"/>
            <w:vAlign w:val="center"/>
          </w:tcPr>
          <w:p w14:paraId="7A679FA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74.8±3.6</w:t>
            </w:r>
          </w:p>
        </w:tc>
        <w:tc>
          <w:tcPr>
            <w:tcW w:w="844" w:type="pct"/>
            <w:shd w:val="clear" w:color="auto" w:fill="F1F1F1" w:themeFill="background1" w:themeFillShade="F2"/>
            <w:vAlign w:val="center"/>
          </w:tcPr>
          <w:p w14:paraId="74657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Enhanced loading and release</w:t>
            </w:r>
          </w:p>
        </w:tc>
      </w:tr>
    </w:tbl>
    <w:p w14:paraId="72AB2C1A">
      <w:pPr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>Loading and release parameters of the pH-responsive GO-based co-delivery system. Date are mean</w:t>
      </w:r>
      <w:bookmarkStart w:id="1" w:name="_Hlk229640586"/>
      <w:r>
        <w:rPr>
          <w:rFonts w:ascii="Times New Roman" w:hAnsi="Times New Roman" w:cs="Times New Roman"/>
          <w:sz w:val="13"/>
          <w:szCs w:val="13"/>
        </w:rPr>
        <w:t>±</w:t>
      </w:r>
      <w:bookmarkEnd w:id="1"/>
      <w:r>
        <w:rPr>
          <w:rFonts w:ascii="Times New Roman" w:hAnsi="Times New Roman" w:cs="Times New Roman"/>
          <w:sz w:val="13"/>
          <w:szCs w:val="13"/>
        </w:rPr>
        <w:t>s.d. from n=3 independent experiments</w:t>
      </w:r>
    </w:p>
    <w:p w14:paraId="2BC7D356">
      <w:pPr>
        <w:spacing w:after="0" w:line="240" w:lineRule="auto"/>
        <w:jc w:val="both"/>
        <w:rPr>
          <w:rFonts w:ascii="Times New Roman" w:hAnsi="Times New Roman" w:eastAsia="宋体" w:cs="Times New Roman"/>
          <w:sz w:val="21"/>
          <w14:ligatures w14:val="none"/>
        </w:rPr>
      </w:pPr>
      <w:r>
        <w:rPr>
          <w:rFonts w:hint="eastAsia" w:ascii="Times New Roman" w:hAnsi="Times New Roman" w:eastAsia="宋体" w:cs="Times New Roman"/>
          <w:sz w:val="21"/>
          <w14:ligatures w14:val="none"/>
        </w:rPr>
        <w:drawing>
          <wp:inline distT="0" distB="0" distL="0" distR="0">
            <wp:extent cx="5490845" cy="3025140"/>
            <wp:effectExtent l="0" t="0" r="14605" b="381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1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367AE">
      <w:pPr>
        <w:spacing w:after="0" w:line="240" w:lineRule="auto"/>
        <w:jc w:val="both"/>
        <w:rPr>
          <w:rFonts w:ascii="Times New Roman" w:hAnsi="Times New Roman" w:eastAsia="宋体" w:cs="Times New Roman"/>
          <w:sz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sz w:val="21"/>
          <w14:ligatures w14:val="none"/>
        </w:rPr>
        <w:t>Figure S4</w:t>
      </w:r>
      <w:r>
        <w:rPr>
          <w:rFonts w:ascii="Times New Roman" w:hAnsi="Times New Roman" w:eastAsia="宋体" w:cs="Times New Roman"/>
          <w:sz w:val="21"/>
          <w14:ligatures w14:val="none"/>
        </w:rPr>
        <w:t>. CD44 blockade efficiency and dose-dependent uptake of FITC-GO@Drug. (a) Flow cytometry histogram showing CD44 surface expression before and after antibody blockade. (b) Mean fluorescence intensity as a function of GO@Drug concentration.</w:t>
      </w:r>
    </w:p>
    <w:p w14:paraId="19AD4519">
      <w:pPr>
        <w:rPr>
          <w:rFonts w:ascii="Times New Roman" w:hAnsi="Times New Roman" w:cs="Times New Roman"/>
          <w:sz w:val="21"/>
          <w:szCs w:val="21"/>
        </w:rPr>
      </w:pPr>
    </w:p>
    <w:p w14:paraId="27407D1E">
      <w:pPr>
        <w:rPr>
          <w:rFonts w:ascii="Times New Roman" w:hAnsi="Times New Roman" w:cs="Times New Roman"/>
          <w:sz w:val="21"/>
          <w:szCs w:val="21"/>
        </w:rPr>
      </w:pPr>
    </w:p>
    <w:p w14:paraId="700CA1BE">
      <w:pPr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drawing>
          <wp:inline distT="0" distB="0" distL="0" distR="0">
            <wp:extent cx="4764405" cy="2919095"/>
            <wp:effectExtent l="0" t="0" r="17145" b="1460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4405" cy="291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5D88E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Figure S5</w:t>
      </w:r>
      <w:r>
        <w:rPr>
          <w:rFonts w:ascii="Times New Roman" w:hAnsi="Times New Roman" w:cs="Times New Roman"/>
          <w:sz w:val="21"/>
          <w:szCs w:val="21"/>
        </w:rPr>
        <w:t>. Ferrostatin-1 (Fer-1) control experiments confirming ferroptosis pathway dependence.</w:t>
      </w:r>
    </w:p>
    <w:p w14:paraId="08719409">
      <w:pPr>
        <w:rPr>
          <w:rFonts w:ascii="Times New Roman" w:hAnsi="Times New Roman" w:cs="Times New Roman"/>
          <w:sz w:val="21"/>
          <w:szCs w:val="21"/>
        </w:rPr>
      </w:pPr>
    </w:p>
    <w:p w14:paraId="0848C596">
      <w:pPr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drawing>
          <wp:inline distT="0" distB="0" distL="0" distR="0">
            <wp:extent cx="5012055" cy="3128645"/>
            <wp:effectExtent l="0" t="0" r="17145" b="14605"/>
            <wp:docPr id="16" name="图片 16" descr="/Users/jinwang/Library/Containers/com.kingsoft.wpsoffice.mac/Data/tmp/photoeditapp/20260514113157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/Users/jinwang/Library/Containers/com.kingsoft.wpsoffice.mac/Data/tmp/photoeditapp/20260514113157/temp.pngtemp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2055" cy="3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0B453">
      <w:pPr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</w:rPr>
        <w:t xml:space="preserve">Figure S6. </w:t>
      </w:r>
      <w:r>
        <w:rPr>
          <w:rFonts w:hint="eastAsia" w:ascii="Times New Roman" w:hAnsi="Times New Roman" w:cs="Times New Roman"/>
          <w:sz w:val="21"/>
          <w:szCs w:val="21"/>
        </w:rPr>
        <w:t xml:space="preserve">Expand physicochemical </w:t>
      </w:r>
      <w:r>
        <w:rPr>
          <w:rFonts w:ascii="Times New Roman" w:hAnsi="Times New Roman" w:cs="Times New Roman"/>
          <w:sz w:val="21"/>
          <w:szCs w:val="21"/>
        </w:rPr>
        <w:t>characterization</w:t>
      </w:r>
      <w:r>
        <w:rPr>
          <w:rFonts w:hint="eastAsia" w:ascii="Times New Roman" w:hAnsi="Times New Roman" w:cs="Times New Roman"/>
          <w:sz w:val="21"/>
          <w:szCs w:val="21"/>
        </w:rPr>
        <w:t xml:space="preserve"> confirming </w:t>
      </w:r>
      <w:r>
        <w:rPr>
          <w:rFonts w:ascii="Times New Roman" w:hAnsi="Times New Roman" w:cs="Times New Roman"/>
          <w:sz w:val="21"/>
          <w:szCs w:val="21"/>
        </w:rPr>
        <w:t>successful</w:t>
      </w:r>
      <w:r>
        <w:rPr>
          <w:rFonts w:hint="eastAsia" w:ascii="Times New Roman" w:hAnsi="Times New Roman" w:cs="Times New Roman"/>
          <w:sz w:val="21"/>
          <w:szCs w:val="21"/>
        </w:rPr>
        <w:t xml:space="preserve"> drug loading and stable colloidal behavior of GO@Drug.</w:t>
      </w:r>
    </w:p>
    <w:p w14:paraId="63A2D421">
      <w:pPr>
        <w:jc w:val="center"/>
        <w:rPr>
          <w:rFonts w:ascii="Times New Roman" w:hAnsi="Times New Roman" w:cs="Times New Roman"/>
          <w:sz w:val="21"/>
          <w:szCs w:val="21"/>
        </w:rPr>
      </w:pPr>
    </w:p>
    <w:p w14:paraId="347527FE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drawing>
          <wp:inline distT="0" distB="0" distL="0" distR="0">
            <wp:extent cx="4572635" cy="2760345"/>
            <wp:effectExtent l="0" t="0" r="18415" b="190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276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C13FE">
      <w:pPr>
        <w:jc w:val="both"/>
        <w:rPr>
          <w:rFonts w:ascii="Times New Roman" w:hAnsi="Times New Roman" w:eastAsia="宋体" w:cs="Times New Roman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sz w:val="21"/>
          <w:szCs w:val="21"/>
          <w14:ligatures w14:val="none"/>
        </w:rPr>
        <w:t>Figure S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14:ligatures w14:val="none"/>
        </w:rPr>
        <w:t>7</w:t>
      </w:r>
      <w:r>
        <w:rPr>
          <w:rFonts w:ascii="Times New Roman" w:hAnsi="Times New Roman" w:eastAsia="宋体" w:cs="Times New Roman"/>
          <w:b/>
          <w:bCs/>
          <w:sz w:val="21"/>
          <w:szCs w:val="21"/>
          <w14:ligatures w14:val="none"/>
        </w:rPr>
        <w:t>.</w:t>
      </w:r>
      <w:r>
        <w:rPr>
          <w:rFonts w:ascii="Times New Roman" w:hAnsi="Times New Roman" w:eastAsia="宋体" w:cs="Times New Roman"/>
          <w:sz w:val="21"/>
          <w:szCs w:val="21"/>
          <w14:ligatures w14:val="none"/>
        </w:rPr>
        <w:t xml:space="preserve"> Systemic metabolic and inflammatory profiles in ApoE</w:t>
      </w:r>
      <w:r>
        <w:rPr>
          <w:rFonts w:ascii="Times New Roman" w:hAnsi="Times New Roman" w:eastAsia="宋体" w:cs="Times New Roman"/>
          <w:sz w:val="21"/>
          <w:szCs w:val="21"/>
          <w:vertAlign w:val="superscript"/>
          <w14:ligatures w14:val="none"/>
        </w:rPr>
        <w:t>-/-</w:t>
      </w:r>
      <w:r>
        <w:rPr>
          <w:rFonts w:ascii="Times New Roman" w:hAnsi="Times New Roman" w:eastAsia="宋体" w:cs="Times New Roman"/>
          <w:sz w:val="21"/>
          <w:szCs w:val="21"/>
          <w14:ligatures w14:val="none"/>
        </w:rPr>
        <w:t>mice after 8-week treatment.</w:t>
      </w:r>
      <w:r>
        <w:rPr>
          <w:rFonts w:hint="eastAsia" w:ascii="Times New Roman" w:hAnsi="Times New Roman" w:eastAsia="宋体" w:cs="Times New Roman"/>
          <w:sz w:val="21"/>
          <w:szCs w:val="21"/>
          <w14:ligatures w14:val="none"/>
        </w:rPr>
        <w:t xml:space="preserve"> </w:t>
      </w:r>
      <w:r>
        <w:rPr>
          <w:rFonts w:ascii="Times New Roman" w:hAnsi="Times New Roman" w:eastAsia="宋体" w:cs="Times New Roman"/>
          <w:sz w:val="21"/>
          <w:szCs w:val="21"/>
          <w14:ligatures w14:val="none"/>
        </w:rPr>
        <w:t xml:space="preserve">(a) Serum total cholesterol, LDL-C, HDL-C, and triglycerides. (b) Serum IL-1β, TNF-α, and CRP levels measured by ELISA. </w:t>
      </w:r>
    </w:p>
    <w:p w14:paraId="51E7AD25">
      <w:pPr>
        <w:jc w:val="both"/>
        <w:rPr>
          <w:rFonts w:ascii="Times New Roman" w:hAnsi="Times New Roman" w:eastAsia="宋体" w:cs="Times New Roman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sz w:val="21"/>
          <w:szCs w:val="21"/>
          <w14:ligatures w14:val="none"/>
        </w:rPr>
        <w:drawing>
          <wp:inline distT="0" distB="0" distL="0" distR="0">
            <wp:extent cx="4827270" cy="2721610"/>
            <wp:effectExtent l="0" t="0" r="1143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7270" cy="273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A5549">
      <w:pPr>
        <w:spacing w:after="0" w:line="240" w:lineRule="auto"/>
        <w:jc w:val="both"/>
        <w:rPr>
          <w:rFonts w:ascii="Times New Roman" w:hAnsi="Times New Roman" w:eastAsia="宋体" w:cs="Times New Roman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sz w:val="21"/>
          <w:szCs w:val="21"/>
          <w14:ligatures w14:val="none"/>
        </w:rPr>
        <w:t>Figure S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14:ligatures w14:val="none"/>
        </w:rPr>
        <w:t>8</w:t>
      </w:r>
      <w:r>
        <w:rPr>
          <w:rFonts w:ascii="Times New Roman" w:hAnsi="Times New Roman" w:eastAsia="宋体" w:cs="Times New Roman"/>
          <w:b/>
          <w:bCs/>
          <w:sz w:val="21"/>
          <w:szCs w:val="21"/>
          <w14:ligatures w14:val="none"/>
        </w:rPr>
        <w:t>.</w:t>
      </w:r>
      <w:r>
        <w:rPr>
          <w:rFonts w:ascii="Times New Roman" w:hAnsi="Times New Roman" w:eastAsia="宋体" w:cs="Times New Roman"/>
          <w:sz w:val="21"/>
          <w:szCs w:val="21"/>
          <w14:ligatures w14:val="none"/>
        </w:rPr>
        <w:t xml:space="preserve"> H&amp;E staining of major organs (heart, liver, spleen, lung, kidney) from all treatment groups, showing normal histology without evidence of toxicity. Scale bar, 100 μm.</w:t>
      </w:r>
    </w:p>
    <w:p w14:paraId="1BD69A21">
      <w:pPr>
        <w:spacing w:after="0" w:line="240" w:lineRule="auto"/>
        <w:jc w:val="both"/>
        <w:rPr>
          <w:rFonts w:ascii="Times New Roman" w:hAnsi="Times New Roman" w:eastAsia="宋体" w:cs="Times New Roman"/>
          <w:sz w:val="21"/>
          <w:szCs w:val="21"/>
          <w14:ligatures w14:val="none"/>
        </w:rPr>
      </w:pPr>
    </w:p>
    <w:p w14:paraId="12E397D7">
      <w:pPr>
        <w:spacing w:after="0" w:line="240" w:lineRule="auto"/>
        <w:jc w:val="center"/>
        <w:rPr>
          <w:rFonts w:ascii="Times New Roman" w:hAnsi="Times New Roman" w:eastAsia="宋体" w:cs="Times New Roman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sz w:val="21"/>
          <w:szCs w:val="21"/>
          <w14:ligatures w14:val="none"/>
        </w:rPr>
        <w:drawing>
          <wp:inline distT="0" distB="0" distL="0" distR="0">
            <wp:extent cx="4885690" cy="3016885"/>
            <wp:effectExtent l="0" t="0" r="10160" b="1206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contrast="6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5690" cy="301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4E142">
      <w:pPr>
        <w:spacing w:after="0" w:line="240" w:lineRule="auto"/>
        <w:jc w:val="both"/>
        <w:rPr>
          <w:rFonts w:ascii="Times New Roman" w:hAnsi="Times New Roman" w:eastAsia="宋体" w:cs="Times New Roman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sz w:val="21"/>
          <w:szCs w:val="21"/>
          <w14:ligatures w14:val="none"/>
        </w:rPr>
        <w:t>Figure S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14:ligatures w14:val="none"/>
        </w:rPr>
        <w:t>9</w:t>
      </w:r>
      <w:r>
        <w:rPr>
          <w:rFonts w:ascii="Times New Roman" w:hAnsi="Times New Roman" w:eastAsia="宋体" w:cs="Times New Roman"/>
          <w:b/>
          <w:bCs/>
          <w:sz w:val="21"/>
          <w:szCs w:val="21"/>
          <w14:ligatures w14:val="none"/>
        </w:rPr>
        <w:t>.</w:t>
      </w:r>
      <w:r>
        <w:rPr>
          <w:rFonts w:ascii="Times New Roman" w:hAnsi="Times New Roman" w:eastAsia="宋体" w:cs="Times New Roman"/>
          <w:sz w:val="21"/>
          <w:szCs w:val="21"/>
          <w14:ligatures w14:val="none"/>
        </w:rPr>
        <w:t xml:space="preserve"> Long-term (6-month) safety assessment. (a) Body weight curves. (b) Complete blood counts at sacrifice. (c) Serum biochemistry panel. (d) Prussian Blue staining of major organs showing no abnormal iron deposition.</w:t>
      </w:r>
    </w:p>
    <w:p w14:paraId="2D8265C3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drawing>
          <wp:inline distT="0" distB="0" distL="0" distR="0">
            <wp:extent cx="5024755" cy="3089910"/>
            <wp:effectExtent l="0" t="0" r="4445" b="1524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contrast="6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4755" cy="308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6B9EF">
      <w:p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Figure S1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>0</w:t>
      </w:r>
      <w:r>
        <w:rPr>
          <w:rFonts w:ascii="Times New Roman" w:hAnsi="Times New Roman" w:cs="Times New Roman"/>
          <w:b/>
          <w:bCs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 xml:space="preserve"> Advanced lesion intervention model (20-week HFD before treatment initiation). (a) En face Oil Red O and lesion area quantification. (b) H&amp;E-stained aortic root sections. (c) Fibrous cap thickness measurement. (d) Gelatin zymography for MMP-9 activity in aortic extracts.</w:t>
      </w:r>
    </w:p>
    <w:p w14:paraId="11980CB3">
      <w:pPr>
        <w:jc w:val="center"/>
        <w:rPr>
          <w:rFonts w:ascii="Times New Roman" w:hAnsi="Times New Roman" w:cs="Times New Roman"/>
          <w:sz w:val="21"/>
          <w:szCs w:val="21"/>
        </w:rPr>
      </w:pPr>
    </w:p>
    <w:p w14:paraId="112BE0B5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drawing>
          <wp:inline distT="0" distB="0" distL="0" distR="0">
            <wp:extent cx="4679950" cy="2820670"/>
            <wp:effectExtent l="0" t="0" r="6350" b="1778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2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843A3">
      <w:pPr>
        <w:spacing w:after="0" w:line="240" w:lineRule="auto"/>
        <w:jc w:val="both"/>
        <w:rPr>
          <w:rFonts w:ascii="Times New Roman" w:hAnsi="Times New Roman" w:eastAsia="宋体" w:cs="Times New Roman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sz w:val="21"/>
          <w:szCs w:val="21"/>
          <w14:ligatures w14:val="none"/>
        </w:rPr>
        <w:t>Figure S1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14:ligatures w14:val="none"/>
        </w:rPr>
        <w:t>1</w:t>
      </w:r>
      <w:r>
        <w:rPr>
          <w:rFonts w:ascii="Times New Roman" w:hAnsi="Times New Roman" w:eastAsia="宋体" w:cs="Times New Roman"/>
          <w:b/>
          <w:bCs/>
          <w:sz w:val="21"/>
          <w:szCs w:val="21"/>
          <w14:ligatures w14:val="none"/>
        </w:rPr>
        <w:t xml:space="preserve">. </w:t>
      </w:r>
      <w:r>
        <w:rPr>
          <w:rFonts w:ascii="Times New Roman" w:hAnsi="Times New Roman" w:eastAsia="宋体" w:cs="Times New Roman"/>
          <w:sz w:val="21"/>
          <w:szCs w:val="21"/>
          <w14:ligatures w14:val="none"/>
        </w:rPr>
        <w:t>Characterization of the FRET-based Fe</w:t>
      </w:r>
      <w:r>
        <w:rPr>
          <w:rFonts w:ascii="Times New Roman" w:hAnsi="Times New Roman" w:eastAsia="宋体" w:cs="Times New Roman"/>
          <w:sz w:val="21"/>
          <w:szCs w:val="21"/>
          <w:vertAlign w:val="superscript"/>
          <w14:ligatures w14:val="none"/>
        </w:rPr>
        <w:t>2+</w:t>
      </w:r>
      <w:r>
        <w:rPr>
          <w:rFonts w:ascii="Times New Roman" w:hAnsi="Times New Roman" w:eastAsia="宋体" w:cs="Times New Roman"/>
          <w:sz w:val="21"/>
          <w:szCs w:val="21"/>
          <w14:ligatures w14:val="none"/>
        </w:rPr>
        <w:t xml:space="preserve"> nanosensor. (a) Schematic of Fe</w:t>
      </w:r>
      <w:r>
        <w:rPr>
          <w:rFonts w:ascii="Times New Roman" w:hAnsi="Times New Roman" w:eastAsia="宋体" w:cs="Times New Roman"/>
          <w:sz w:val="21"/>
          <w:szCs w:val="21"/>
          <w:vertAlign w:val="superscript"/>
          <w14:ligatures w14:val="none"/>
        </w:rPr>
        <w:t>2+</w:t>
      </w:r>
      <w:r>
        <w:rPr>
          <w:rFonts w:ascii="Times New Roman" w:hAnsi="Times New Roman" w:eastAsia="宋体" w:cs="Times New Roman"/>
          <w:sz w:val="21"/>
          <w:szCs w:val="21"/>
          <w14:ligatures w14:val="none"/>
        </w:rPr>
        <w:t>-dependent peptide cleavage and FRET disruption mechanism. (b) Fluorescence emission spectra before and after Fe</w:t>
      </w:r>
      <w:r>
        <w:rPr>
          <w:rFonts w:ascii="Times New Roman" w:hAnsi="Times New Roman" w:eastAsia="宋体" w:cs="Times New Roman"/>
          <w:sz w:val="21"/>
          <w:szCs w:val="21"/>
          <w:vertAlign w:val="superscript"/>
          <w14:ligatures w14:val="none"/>
        </w:rPr>
        <w:t>2+</w:t>
      </w:r>
      <w:r>
        <w:rPr>
          <w:rFonts w:ascii="Times New Roman" w:hAnsi="Times New Roman" w:eastAsia="宋体" w:cs="Times New Roman"/>
          <w:sz w:val="21"/>
          <w:szCs w:val="21"/>
          <w14:ligatures w14:val="none"/>
        </w:rPr>
        <w:t xml:space="preserve"> exposure, showing increased Cy3/Cy5 ratio. (c) Calibration curve of FRET ratio versus Fe</w:t>
      </w:r>
      <w:r>
        <w:rPr>
          <w:rFonts w:ascii="Times New Roman" w:hAnsi="Times New Roman" w:eastAsia="宋体" w:cs="Times New Roman"/>
          <w:sz w:val="21"/>
          <w:szCs w:val="21"/>
          <w:vertAlign w:val="superscript"/>
          <w14:ligatures w14:val="none"/>
        </w:rPr>
        <w:t>2+</w:t>
      </w:r>
      <w:r>
        <w:rPr>
          <w:rFonts w:ascii="Times New Roman" w:hAnsi="Times New Roman" w:eastAsia="宋体" w:cs="Times New Roman"/>
          <w:sz w:val="21"/>
          <w:szCs w:val="21"/>
          <w14:ligatures w14:val="none"/>
        </w:rPr>
        <w:t xml:space="preserve"> concentration. (d) pH stability profile of the sensor.</w:t>
      </w:r>
    </w:p>
    <w:p w14:paraId="6427B3C8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drawing>
          <wp:inline distT="0" distB="0" distL="0" distR="0">
            <wp:extent cx="5327650" cy="3404235"/>
            <wp:effectExtent l="0" t="0" r="6350" b="5715"/>
            <wp:docPr id="26" name="图片 26" descr="/Users/jinwang/Library/Containers/com.kingsoft.wpsoffice.mac/Data/tmp/photoeditapp/20260514113559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/Users/jinwang/Library/Containers/com.kingsoft.wpsoffice.mac/Data/tmp/photoeditapp/20260514113559/temp.pngtemp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340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8EB40">
      <w:pPr>
        <w:spacing w:after="0" w:line="240" w:lineRule="auto"/>
        <w:jc w:val="both"/>
        <w:rPr>
          <w:rFonts w:ascii="Times New Roman" w:hAnsi="Times New Roman" w:eastAsia="宋体" w:cs="Times New Roman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sz w:val="21"/>
          <w:szCs w:val="21"/>
          <w14:ligatures w14:val="none"/>
        </w:rPr>
        <w:t>Figure S1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14:ligatures w14:val="none"/>
        </w:rPr>
        <w:t>2</w:t>
      </w:r>
      <w:r>
        <w:rPr>
          <w:rFonts w:ascii="Times New Roman" w:hAnsi="Times New Roman" w:eastAsia="宋体" w:cs="Times New Roman"/>
          <w:b/>
          <w:bCs/>
          <w:sz w:val="21"/>
          <w:szCs w:val="21"/>
          <w14:ligatures w14:val="none"/>
        </w:rPr>
        <w:t>.</w:t>
      </w:r>
      <w:r>
        <w:rPr>
          <w:rFonts w:ascii="Times New Roman" w:hAnsi="Times New Roman" w:eastAsia="宋体" w:cs="Times New Roman"/>
          <w:sz w:val="21"/>
          <w:szCs w:val="21"/>
          <w14:ligatures w14:val="none"/>
        </w:rPr>
        <w:t xml:space="preserve"> Characterization and pharmacokinetics of </w:t>
      </w:r>
      <w:r>
        <w:rPr>
          <w:rFonts w:ascii="Times New Roman" w:hAnsi="Times New Roman" w:eastAsia="宋体" w:cs="Times New Roman"/>
          <w:sz w:val="21"/>
          <w:szCs w:val="21"/>
          <w:vertAlign w:val="superscript"/>
          <w14:ligatures w14:val="none"/>
        </w:rPr>
        <w:t>3</w:t>
      </w:r>
      <w:r>
        <w:rPr>
          <w:rFonts w:ascii="Times New Roman" w:hAnsi="Times New Roman" w:eastAsia="宋体" w:cs="Times New Roman"/>
          <w:sz w:val="21"/>
          <w:szCs w:val="21"/>
          <w14:ligatures w14:val="none"/>
        </w:rPr>
        <w:t xml:space="preserve">H-labeled GO@Drug. (a) XPS C 1s spectra of 3H-GO@Drug confirming identical surface chemistry to standard GO. (b) Hydrodynamic size and zeta potential comparison. (c) Radiochemical purity by SEC-HPLC. (d) Drug loading equivalency. (e) Organ biodistribution of </w:t>
      </w:r>
      <w:r>
        <w:rPr>
          <w:rFonts w:ascii="Times New Roman" w:hAnsi="Times New Roman" w:eastAsia="宋体" w:cs="Times New Roman"/>
          <w:sz w:val="21"/>
          <w:szCs w:val="21"/>
          <w:vertAlign w:val="superscript"/>
          <w14:ligatures w14:val="none"/>
        </w:rPr>
        <w:t>3</w:t>
      </w:r>
      <w:r>
        <w:rPr>
          <w:rFonts w:ascii="Times New Roman" w:hAnsi="Times New Roman" w:eastAsia="宋体" w:cs="Times New Roman"/>
          <w:sz w:val="21"/>
          <w:szCs w:val="21"/>
          <w14:ligatures w14:val="none"/>
        </w:rPr>
        <w:t xml:space="preserve">H-GO@Drug at 24 h post-injection. (f) Size-exclusion chromatography of urinary </w:t>
      </w:r>
      <w:r>
        <w:rPr>
          <w:rFonts w:ascii="Times New Roman" w:hAnsi="Times New Roman" w:eastAsia="宋体" w:cs="Times New Roman"/>
          <w:sz w:val="21"/>
          <w:szCs w:val="21"/>
          <w:vertAlign w:val="superscript"/>
          <w14:ligatures w14:val="none"/>
        </w:rPr>
        <w:t>3</w:t>
      </w:r>
      <w:r>
        <w:rPr>
          <w:rFonts w:ascii="Times New Roman" w:hAnsi="Times New Roman" w:eastAsia="宋体" w:cs="Times New Roman"/>
          <w:sz w:val="21"/>
          <w:szCs w:val="21"/>
          <w14:ligatures w14:val="none"/>
        </w:rPr>
        <w:t>H fractions at day 28 showing low-molecular-weight degradation products (&lt;5 kDa).</w:t>
      </w:r>
    </w:p>
    <w:p w14:paraId="56D5F028">
      <w:pPr>
        <w:spacing w:after="0" w:line="240" w:lineRule="auto"/>
        <w:jc w:val="both"/>
        <w:rPr>
          <w:rFonts w:ascii="Times New Roman" w:hAnsi="Times New Roman" w:eastAsia="宋体" w:cs="Times New Roman"/>
          <w:sz w:val="21"/>
          <w:szCs w:val="21"/>
          <w14:ligatures w14:val="none"/>
        </w:rPr>
      </w:pPr>
    </w:p>
    <w:p w14:paraId="686B1CAC">
      <w:pPr>
        <w:spacing w:after="0" w:line="240" w:lineRule="auto"/>
        <w:jc w:val="center"/>
        <w:rPr>
          <w:rFonts w:ascii="Times New Roman" w:hAnsi="Times New Roman" w:eastAsia="宋体" w:cs="Times New Roman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sz w:val="21"/>
          <w:szCs w:val="21"/>
          <w14:ligatures w14:val="none"/>
        </w:rPr>
        <w:drawing>
          <wp:inline distT="0" distB="0" distL="0" distR="0">
            <wp:extent cx="5026660" cy="2941955"/>
            <wp:effectExtent l="0" t="0" r="2540" b="1079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6660" cy="2942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48467">
      <w:pPr>
        <w:spacing w:after="0" w:line="240" w:lineRule="auto"/>
        <w:jc w:val="both"/>
        <w:rPr>
          <w:rFonts w:ascii="Times New Roman" w:hAnsi="Times New Roman" w:eastAsia="宋体" w:cs="Times New Roman"/>
          <w:sz w:val="21"/>
          <w:szCs w:val="21"/>
          <w14:ligatures w14:val="none"/>
        </w:rPr>
      </w:pPr>
      <w:r>
        <w:rPr>
          <w:rFonts w:ascii="Times New Roman" w:hAnsi="Times New Roman" w:eastAsia="宋体" w:cs="Times New Roman"/>
          <w:b/>
          <w:bCs/>
          <w:sz w:val="21"/>
          <w:szCs w:val="21"/>
          <w14:ligatures w14:val="none"/>
        </w:rPr>
        <w:t>Figure S1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14:ligatures w14:val="none"/>
        </w:rPr>
        <w:t>3</w:t>
      </w:r>
      <w:r>
        <w:rPr>
          <w:rFonts w:ascii="Times New Roman" w:hAnsi="Times New Roman" w:eastAsia="宋体" w:cs="Times New Roman"/>
          <w:b/>
          <w:bCs/>
          <w:sz w:val="21"/>
          <w:szCs w:val="21"/>
          <w14:ligatures w14:val="none"/>
        </w:rPr>
        <w:t>.</w:t>
      </w:r>
      <w:r>
        <w:rPr>
          <w:rFonts w:ascii="Times New Roman" w:hAnsi="Times New Roman" w:eastAsia="宋体" w:cs="Times New Roman"/>
          <w:sz w:val="21"/>
          <w:szCs w:val="21"/>
          <w14:ligatures w14:val="none"/>
        </w:rPr>
        <w:t xml:space="preserve"> Long-term histopathological safety at 180 days post-treatment. H&amp;E and Prussian Blue staining of liver, spleen, kidney, lung, and heart from 3H-GO@Drug-treated ApoE</w:t>
      </w:r>
      <w:r>
        <w:rPr>
          <w:rFonts w:ascii="Times New Roman" w:hAnsi="Times New Roman" w:eastAsia="宋体" w:cs="Times New Roman"/>
          <w:sz w:val="21"/>
          <w:szCs w:val="21"/>
          <w:vertAlign w:val="superscript"/>
          <w14:ligatures w14:val="none"/>
        </w:rPr>
        <w:t>-/-</w:t>
      </w:r>
      <w:r>
        <w:rPr>
          <w:rFonts w:ascii="Times New Roman" w:hAnsi="Times New Roman" w:eastAsia="宋体" w:cs="Times New Roman"/>
          <w:sz w:val="21"/>
          <w:szCs w:val="21"/>
          <w14:ligatures w14:val="none"/>
        </w:rPr>
        <w:t>mice, showing no evidence of necrosis, fibrosis, steatosis, or iron overload. Scale bar, 100 μm.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F20"/>
    <w:rsid w:val="00081353"/>
    <w:rsid w:val="000A0F0C"/>
    <w:rsid w:val="000F3858"/>
    <w:rsid w:val="001645DF"/>
    <w:rsid w:val="001B7E8E"/>
    <w:rsid w:val="002142E0"/>
    <w:rsid w:val="00433B73"/>
    <w:rsid w:val="00464510"/>
    <w:rsid w:val="00652110"/>
    <w:rsid w:val="00697F20"/>
    <w:rsid w:val="00714C82"/>
    <w:rsid w:val="007C7AE5"/>
    <w:rsid w:val="00811C4D"/>
    <w:rsid w:val="008D19D7"/>
    <w:rsid w:val="009175AE"/>
    <w:rsid w:val="00917D28"/>
    <w:rsid w:val="00930F20"/>
    <w:rsid w:val="00AF2B7C"/>
    <w:rsid w:val="00B31C6D"/>
    <w:rsid w:val="00B8510B"/>
    <w:rsid w:val="00CD5341"/>
    <w:rsid w:val="00CE6C6B"/>
    <w:rsid w:val="00CF74BA"/>
    <w:rsid w:val="00D57F0A"/>
    <w:rsid w:val="00D8638E"/>
    <w:rsid w:val="00ED14AD"/>
    <w:rsid w:val="00F44AE1"/>
    <w:rsid w:val="00F50D30"/>
    <w:rsid w:val="069E773A"/>
    <w:rsid w:val="49DE4C13"/>
    <w:rsid w:val="5B981DCF"/>
    <w:rsid w:val="6ED37B0A"/>
    <w:rsid w:val="BE6EC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</w:rPr>
  </w:style>
  <w:style w:type="character" w:customStyle="1" w:styleId="39">
    <w:name w:val="Unresolved Mention"/>
    <w:basedOn w:val="1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606</Words>
  <Characters>3961</Characters>
  <Lines>34</Lines>
  <Paragraphs>9</Paragraphs>
  <TotalTime>20</TotalTime>
  <ScaleCrop>false</ScaleCrop>
  <LinksUpToDate>false</LinksUpToDate>
  <CharactersWithSpaces>4471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2026-05-14T05:29:00Z</dcterms:created>
  <dc:creator>HP</dc:creator>
  <cp:lastModifiedBy>王瑾</cp:lastModifiedBy>
  <dcterms:modified xsi:type="dcterms:W3CDTF">2026-07-03T03:03:23Z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E9499ED7AE9247DF7743056AAD5C1B8B_42</vt:lpwstr>
  </property>
  <property fmtid="{D5CDD505-2E9C-101B-9397-08002B2CF9AE}" pid="4" name="KSOTemplateDocerSaveRecord">
    <vt:lpwstr>eyJoZGlkIjoiMDU4ZGNlYWMzODc5Y2RkZjlkYmYzNTI0MGY3YzZiZTkiLCJ1c2VySWQiOiIxNzgwNzExMzA5In0=</vt:lpwstr>
  </property>
</Properties>
</file>