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1ED7E8" w14:textId="77777777" w:rsidR="00333D4E" w:rsidRDefault="00000000">
      <w:pPr>
        <w:spacing w:after="80"/>
      </w:pPr>
      <w:r>
        <w:rPr>
          <w:b/>
          <w:bCs/>
          <w:sz w:val="28"/>
          <w:szCs w:val="28"/>
        </w:rPr>
        <w:t>Supplementary Information</w:t>
      </w:r>
    </w:p>
    <w:p w14:paraId="584DB945" w14:textId="77777777" w:rsidR="00333D4E" w:rsidRDefault="00000000">
      <w:pPr>
        <w:spacing w:after="160"/>
      </w:pPr>
      <w:r>
        <w:t>Cost-Utility of Atropine-Based Myopia Control versus Single-Vision Correction in US Children</w:t>
      </w:r>
    </w:p>
    <w:p w14:paraId="38C96BAD" w14:textId="77777777" w:rsidR="00333D4E" w:rsidRDefault="00000000">
      <w:pPr>
        <w:pStyle w:val="Heading1"/>
        <w:spacing w:before="240" w:after="80"/>
      </w:pPr>
      <w:r>
        <w:t>e-Figure 1</w:t>
      </w:r>
    </w:p>
    <w:p w14:paraId="22349CFF" w14:textId="77777777" w:rsidR="00333D4E" w:rsidRDefault="00000000">
      <w:pPr>
        <w:spacing w:after="80"/>
      </w:pPr>
      <w:r>
        <w:t>e-Figure 1. Patient selection. Of 802 patients with a low-dose atropine prescription, charts were located for 787; 232 were excluded for the reasons shown, leaving 555 children in the parent clinical cohort. A further two with dual or ambiguous optical cost exposure were excluded, giving the 553-child cost-utility analytic cohort, comprising three cost-based regimen groups: atropine only (n = 443), atropine plus MiSight® (n = 92), and atropine plus defocus spectacles (n = 18). SER = spherical equivalent refraction.</w:t>
      </w:r>
    </w:p>
    <w:p w14:paraId="40CA1553" w14:textId="77777777" w:rsidR="00D879E8" w:rsidRDefault="00D879E8">
      <w:pPr>
        <w:spacing w:after="60"/>
        <w:rPr>
          <w:b/>
          <w:bCs/>
        </w:rPr>
      </w:pPr>
    </w:p>
    <w:p w14:paraId="7421A084" w14:textId="0E4D267C" w:rsidR="00333D4E" w:rsidRDefault="00000000">
      <w:pPr>
        <w:spacing w:after="60"/>
      </w:pPr>
      <w:r>
        <w:rPr>
          <w:b/>
          <w:bCs/>
        </w:rPr>
        <w:t>Supplemental Table 1. Cohort characteristics by treatment regimen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9"/>
        <w:gridCol w:w="1501"/>
        <w:gridCol w:w="1525"/>
        <w:gridCol w:w="1525"/>
        <w:gridCol w:w="1519"/>
        <w:gridCol w:w="1501"/>
      </w:tblGrid>
      <w:tr w:rsidR="00333D4E" w14:paraId="13233E3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17CC95" w14:textId="77777777" w:rsidR="00333D4E" w:rsidRDefault="00000000">
            <w:r>
              <w:rPr>
                <w:b/>
                <w:bCs/>
                <w:color w:val="FFFFFF"/>
                <w:sz w:val="18"/>
                <w:szCs w:val="18"/>
              </w:rPr>
              <w:t>Regimen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1047DF" w14:textId="77777777" w:rsidR="00333D4E" w:rsidRDefault="00000000">
            <w:r>
              <w:rPr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8A20463" w14:textId="77777777" w:rsidR="00333D4E" w:rsidRDefault="00000000">
            <w:r>
              <w:rPr>
                <w:b/>
                <w:bCs/>
                <w:color w:val="FFFFFF"/>
                <w:sz w:val="18"/>
                <w:szCs w:val="18"/>
              </w:rPr>
              <w:t>Baseline age (years)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8F23A7" w14:textId="77777777" w:rsidR="00333D4E" w:rsidRDefault="00000000">
            <w:r>
              <w:rPr>
                <w:b/>
                <w:bCs/>
                <w:color w:val="FFFFFF"/>
                <w:sz w:val="18"/>
                <w:szCs w:val="18"/>
              </w:rPr>
              <w:t>Baseline SER (D)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57A7C4" w14:textId="77777777" w:rsidR="00333D4E" w:rsidRDefault="00000000">
            <w:r>
              <w:rPr>
                <w:b/>
                <w:bCs/>
                <w:color w:val="FFFFFF"/>
                <w:sz w:val="18"/>
                <w:szCs w:val="18"/>
              </w:rPr>
              <w:t>Female %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CBEBD5" w14:textId="77777777" w:rsidR="00333D4E" w:rsidRDefault="00000000">
            <w:r>
              <w:rPr>
                <w:b/>
                <w:bCs/>
                <w:color w:val="FFFFFF"/>
                <w:sz w:val="18"/>
                <w:szCs w:val="18"/>
              </w:rPr>
              <w:t>R / PR / UR</w:t>
            </w:r>
          </w:p>
        </w:tc>
      </w:tr>
      <w:tr w:rsidR="00333D4E" w14:paraId="163ED252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16BD24" w14:textId="77777777" w:rsidR="00333D4E" w:rsidRDefault="00000000">
            <w:r>
              <w:rPr>
                <w:sz w:val="18"/>
                <w:szCs w:val="18"/>
              </w:rPr>
              <w:t>A (atropine only)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562DCE7" w14:textId="77777777" w:rsidR="00333D4E" w:rsidRDefault="00000000">
            <w:r>
              <w:rPr>
                <w:sz w:val="18"/>
                <w:szCs w:val="18"/>
              </w:rPr>
              <w:t>443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CC1670E" w14:textId="77777777" w:rsidR="00333D4E" w:rsidRDefault="00000000">
            <w:r>
              <w:rPr>
                <w:sz w:val="18"/>
                <w:szCs w:val="18"/>
              </w:rPr>
              <w:t>9.9 ± 2.9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29B5575" w14:textId="77777777" w:rsidR="00333D4E" w:rsidRDefault="00000000">
            <w:r>
              <w:rPr>
                <w:sz w:val="18"/>
                <w:szCs w:val="18"/>
              </w:rPr>
              <w:t>−2.32 ± 2.43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2A4D62" w14:textId="77777777" w:rsidR="00333D4E" w:rsidRDefault="00000000">
            <w:r>
              <w:rPr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E7874F" w14:textId="77777777" w:rsidR="00333D4E" w:rsidRDefault="00000000">
            <w:r>
              <w:rPr>
                <w:sz w:val="18"/>
                <w:szCs w:val="18"/>
              </w:rPr>
              <w:t>280 / 79 / 84</w:t>
            </w:r>
          </w:p>
        </w:tc>
      </w:tr>
      <w:tr w:rsidR="00333D4E" w14:paraId="7F16AC98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317477E" w14:textId="77777777" w:rsidR="00333D4E" w:rsidRDefault="00000000">
            <w:r>
              <w:rPr>
                <w:sz w:val="18"/>
                <w:szCs w:val="18"/>
              </w:rPr>
              <w:t>A+M (</w:t>
            </w:r>
            <w:proofErr w:type="spellStart"/>
            <w:r>
              <w:rPr>
                <w:sz w:val="18"/>
                <w:szCs w:val="18"/>
              </w:rPr>
              <w:t>atropine+MiSight</w:t>
            </w:r>
            <w:proofErr w:type="spellEnd"/>
            <w:r>
              <w:rPr>
                <w:sz w:val="18"/>
                <w:szCs w:val="18"/>
              </w:rPr>
              <w:t>®)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1E6CFD" w14:textId="77777777" w:rsidR="00333D4E" w:rsidRDefault="00000000">
            <w:r>
              <w:rPr>
                <w:sz w:val="18"/>
                <w:szCs w:val="18"/>
              </w:rPr>
              <w:t>92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47F2F0" w14:textId="77777777" w:rsidR="00333D4E" w:rsidRDefault="00000000">
            <w:r>
              <w:rPr>
                <w:sz w:val="18"/>
                <w:szCs w:val="18"/>
              </w:rPr>
              <w:t>9.6 ± 2.3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C3FC78B" w14:textId="77777777" w:rsidR="00333D4E" w:rsidRDefault="00000000">
            <w:r>
              <w:rPr>
                <w:sz w:val="18"/>
                <w:szCs w:val="18"/>
              </w:rPr>
              <w:t>−2.45 ± 1.84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D6D79F" w14:textId="77777777" w:rsidR="00333D4E" w:rsidRDefault="00000000">
            <w:r>
              <w:rPr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1AA41D" w14:textId="77777777" w:rsidR="00333D4E" w:rsidRDefault="00000000">
            <w:r>
              <w:rPr>
                <w:sz w:val="18"/>
                <w:szCs w:val="18"/>
              </w:rPr>
              <w:t>53 / 13 / 26</w:t>
            </w:r>
          </w:p>
        </w:tc>
      </w:tr>
      <w:tr w:rsidR="00333D4E" w14:paraId="00F5B5BD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E84F09" w14:textId="77777777" w:rsidR="00333D4E" w:rsidRDefault="00000000">
            <w:r>
              <w:rPr>
                <w:sz w:val="18"/>
                <w:szCs w:val="18"/>
              </w:rPr>
              <w:t>A+D (</w:t>
            </w:r>
            <w:proofErr w:type="spellStart"/>
            <w:r>
              <w:rPr>
                <w:sz w:val="18"/>
                <w:szCs w:val="18"/>
              </w:rPr>
              <w:t>atropine+defocus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22CE3DD" w14:textId="77777777" w:rsidR="00333D4E" w:rsidRDefault="00000000">
            <w:r>
              <w:rPr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2E55BA" w14:textId="77777777" w:rsidR="00333D4E" w:rsidRDefault="00000000">
            <w:r>
              <w:rPr>
                <w:sz w:val="18"/>
                <w:szCs w:val="18"/>
              </w:rPr>
              <w:t>7.8 ± 2.3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9B7C24" w14:textId="77777777" w:rsidR="00333D4E" w:rsidRDefault="00000000">
            <w:r>
              <w:rPr>
                <w:sz w:val="18"/>
                <w:szCs w:val="18"/>
              </w:rPr>
              <w:t>−2.01 ± 1.41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F63411" w14:textId="77777777" w:rsidR="00333D4E" w:rsidRDefault="00000000">
            <w:r>
              <w:rPr>
                <w:sz w:val="18"/>
                <w:szCs w:val="18"/>
              </w:rPr>
              <w:t>39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238327D" w14:textId="77777777" w:rsidR="00333D4E" w:rsidRDefault="00000000">
            <w:r>
              <w:rPr>
                <w:sz w:val="18"/>
                <w:szCs w:val="18"/>
              </w:rPr>
              <w:t>6 / 7 / 5</w:t>
            </w:r>
          </w:p>
        </w:tc>
      </w:tr>
      <w:tr w:rsidR="00333D4E" w14:paraId="6418633F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49BC58" w14:textId="77777777" w:rsidR="00333D4E" w:rsidRDefault="00000000">
            <w:r>
              <w:rPr>
                <w:sz w:val="18"/>
                <w:szCs w:val="18"/>
              </w:rPr>
              <w:t>Analytic cohort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CB6E03" w14:textId="77777777" w:rsidR="00333D4E" w:rsidRDefault="00000000">
            <w:r>
              <w:rPr>
                <w:sz w:val="18"/>
                <w:szCs w:val="18"/>
              </w:rPr>
              <w:t>553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4839A3" w14:textId="77777777" w:rsidR="00333D4E" w:rsidRDefault="00000000">
            <w:r>
              <w:rPr>
                <w:sz w:val="18"/>
                <w:szCs w:val="18"/>
              </w:rPr>
              <w:t>9.8 ± 2.8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8D8062C" w14:textId="77777777" w:rsidR="00333D4E" w:rsidRDefault="00000000">
            <w:r>
              <w:rPr>
                <w:sz w:val="18"/>
                <w:szCs w:val="18"/>
              </w:rPr>
              <w:t>−2.33 ± 2.32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271854C" w14:textId="77777777" w:rsidR="00333D4E" w:rsidRDefault="00000000">
            <w:r>
              <w:rPr>
                <w:sz w:val="18"/>
                <w:szCs w:val="18"/>
              </w:rPr>
              <w:t>51</w:t>
            </w: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813A11B" w14:textId="77777777" w:rsidR="00333D4E" w:rsidRDefault="00000000">
            <w:r>
              <w:rPr>
                <w:sz w:val="18"/>
                <w:szCs w:val="18"/>
              </w:rPr>
              <w:t>339 / 99 / 115</w:t>
            </w:r>
          </w:p>
        </w:tc>
      </w:tr>
    </w:tbl>
    <w:p w14:paraId="16A44AF2" w14:textId="77777777" w:rsidR="00333D4E" w:rsidRPr="00D50746" w:rsidRDefault="00000000">
      <w:pPr>
        <w:spacing w:before="40" w:after="160"/>
      </w:pPr>
      <w:r w:rsidRPr="00D50746">
        <w:t xml:space="preserve">Values are mean ± SD. Mean follow-up was 3.95 ± 2.43 years overall. Regimen is cost-based and descriptive. SD = standard deviation; SER = spherical equivalent refraction; D = </w:t>
      </w:r>
      <w:proofErr w:type="spellStart"/>
      <w:r w:rsidRPr="00D50746">
        <w:t>dioptres</w:t>
      </w:r>
      <w:proofErr w:type="spellEnd"/>
      <w:r w:rsidRPr="00D50746">
        <w:t>; R = responsive, PR = partially responsive, UR = unresponsive, all at 12 months.</w:t>
      </w:r>
    </w:p>
    <w:p w14:paraId="37DBDE56" w14:textId="77777777" w:rsidR="00333D4E" w:rsidRDefault="00000000">
      <w:pPr>
        <w:pStyle w:val="Heading1"/>
        <w:spacing w:before="240" w:after="80"/>
      </w:pPr>
      <w:r>
        <w:t>Appendix S1</w:t>
      </w:r>
    </w:p>
    <w:p w14:paraId="08ED5A78" w14:textId="77777777" w:rsidR="00333D4E" w:rsidRDefault="00000000">
      <w:pPr>
        <w:spacing w:after="60"/>
      </w:pPr>
      <w:r>
        <w:t>CHEERS 2022 checklist (Consolidated Health Economic Evaluation Reporting Standards), supplied as a separate file.</w:t>
      </w:r>
    </w:p>
    <w:sectPr w:rsidR="00333D4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667CFA"/>
    <w:multiLevelType w:val="hybridMultilevel"/>
    <w:tmpl w:val="B4F8FCF4"/>
    <w:lvl w:ilvl="0" w:tplc="E7B21346">
      <w:start w:val="1"/>
      <w:numFmt w:val="bullet"/>
      <w:lvlText w:val="●"/>
      <w:lvlJc w:val="left"/>
      <w:pPr>
        <w:ind w:left="720" w:hanging="360"/>
      </w:pPr>
    </w:lvl>
    <w:lvl w:ilvl="1" w:tplc="DB8AF734">
      <w:start w:val="1"/>
      <w:numFmt w:val="bullet"/>
      <w:lvlText w:val="○"/>
      <w:lvlJc w:val="left"/>
      <w:pPr>
        <w:ind w:left="1440" w:hanging="360"/>
      </w:pPr>
    </w:lvl>
    <w:lvl w:ilvl="2" w:tplc="4CC21BB0">
      <w:start w:val="1"/>
      <w:numFmt w:val="bullet"/>
      <w:lvlText w:val="■"/>
      <w:lvlJc w:val="left"/>
      <w:pPr>
        <w:ind w:left="2160" w:hanging="360"/>
      </w:pPr>
    </w:lvl>
    <w:lvl w:ilvl="3" w:tplc="99386A5E">
      <w:start w:val="1"/>
      <w:numFmt w:val="bullet"/>
      <w:lvlText w:val="●"/>
      <w:lvlJc w:val="left"/>
      <w:pPr>
        <w:ind w:left="2880" w:hanging="360"/>
      </w:pPr>
    </w:lvl>
    <w:lvl w:ilvl="4" w:tplc="F3CED3B6">
      <w:start w:val="1"/>
      <w:numFmt w:val="bullet"/>
      <w:lvlText w:val="○"/>
      <w:lvlJc w:val="left"/>
      <w:pPr>
        <w:ind w:left="3600" w:hanging="360"/>
      </w:pPr>
    </w:lvl>
    <w:lvl w:ilvl="5" w:tplc="6ADE379A">
      <w:start w:val="1"/>
      <w:numFmt w:val="bullet"/>
      <w:lvlText w:val="■"/>
      <w:lvlJc w:val="left"/>
      <w:pPr>
        <w:ind w:left="4320" w:hanging="360"/>
      </w:pPr>
    </w:lvl>
    <w:lvl w:ilvl="6" w:tplc="79AAD54C">
      <w:start w:val="1"/>
      <w:numFmt w:val="bullet"/>
      <w:lvlText w:val="●"/>
      <w:lvlJc w:val="left"/>
      <w:pPr>
        <w:ind w:left="5040" w:hanging="360"/>
      </w:pPr>
    </w:lvl>
    <w:lvl w:ilvl="7" w:tplc="565C9DD0">
      <w:start w:val="1"/>
      <w:numFmt w:val="bullet"/>
      <w:lvlText w:val="●"/>
      <w:lvlJc w:val="left"/>
      <w:pPr>
        <w:ind w:left="5760" w:hanging="360"/>
      </w:pPr>
    </w:lvl>
    <w:lvl w:ilvl="8" w:tplc="A7B42518">
      <w:start w:val="1"/>
      <w:numFmt w:val="bullet"/>
      <w:lvlText w:val="●"/>
      <w:lvlJc w:val="left"/>
      <w:pPr>
        <w:ind w:left="6480" w:hanging="360"/>
      </w:pPr>
    </w:lvl>
  </w:abstractNum>
  <w:num w:numId="1" w16cid:durableId="16411844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4E"/>
    <w:rsid w:val="00333D4E"/>
    <w:rsid w:val="006738AE"/>
    <w:rsid w:val="00D50746"/>
    <w:rsid w:val="00D8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DEE668"/>
  <w15:docId w15:val="{05F2D1E5-E3A0-1949-AE60-159A88F1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60"/>
      <w:outlineLvl w:val="0"/>
    </w:pPr>
    <w:rPr>
      <w:b/>
      <w:bCs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 Clark</cp:lastModifiedBy>
  <cp:revision>3</cp:revision>
  <dcterms:created xsi:type="dcterms:W3CDTF">2026-07-02T18:50:00Z</dcterms:created>
  <dcterms:modified xsi:type="dcterms:W3CDTF">2026-07-02T21:51:00Z</dcterms:modified>
</cp:coreProperties>
</file>