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A54CCD" w14:textId="77777777" w:rsidR="0049053A" w:rsidRPr="00AE485B" w:rsidRDefault="0049053A" w:rsidP="0049053A">
      <w:pPr>
        <w:pStyle w:val="berschrift1"/>
        <w:rPr>
          <w:rFonts w:ascii="Arial" w:hAnsi="Arial" w:cs="Arial"/>
          <w:sz w:val="28"/>
          <w:szCs w:val="28"/>
          <w:lang w:val="en-US"/>
        </w:rPr>
      </w:pPr>
      <w:r w:rsidRPr="00AE485B">
        <w:rPr>
          <w:rFonts w:ascii="Arial" w:hAnsi="Arial" w:cs="Arial"/>
          <w:sz w:val="28"/>
          <w:szCs w:val="28"/>
          <w:lang w:val="en-US"/>
        </w:rPr>
        <w:t>Supplements</w:t>
      </w:r>
    </w:p>
    <w:p w14:paraId="3F80338F" w14:textId="77777777" w:rsidR="0049053A" w:rsidRDefault="0049053A" w:rsidP="0049053A">
      <w:pPr>
        <w:spacing w:line="480" w:lineRule="auto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</w:p>
    <w:p w14:paraId="3446BBC2" w14:textId="177D9D99" w:rsidR="0049053A" w:rsidRPr="00EA4B8C" w:rsidRDefault="00E67FEF" w:rsidP="0049053A">
      <w:pPr>
        <w:spacing w:line="480" w:lineRule="auto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>
        <w:rPr>
          <w:rFonts w:ascii="Arial" w:hAnsi="Arial" w:cs="Arial"/>
          <w:b/>
          <w:bCs/>
          <w:noProof/>
          <w:sz w:val="32"/>
          <w:szCs w:val="32"/>
          <w:u w:val="single"/>
          <w:lang w:val="en-US"/>
        </w:rPr>
        <w:drawing>
          <wp:inline distT="0" distB="0" distL="0" distR="0" wp14:anchorId="4913C39C" wp14:editId="0618D55F">
            <wp:extent cx="5760720" cy="3893820"/>
            <wp:effectExtent l="0" t="0" r="5080" b="5080"/>
            <wp:docPr id="5745049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504957" name="Grafik 5745049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9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DCDE8" w14:textId="77777777" w:rsidR="0049053A" w:rsidRPr="003D196D" w:rsidRDefault="0049053A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3D196D">
        <w:rPr>
          <w:rFonts w:ascii="Arial" w:hAnsi="Arial" w:cs="Arial"/>
          <w:b/>
          <w:bCs/>
          <w:sz w:val="22"/>
          <w:szCs w:val="22"/>
          <w:lang w:val="en-US"/>
        </w:rPr>
        <w:t>Supplemental Figure 1: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Gating strategy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US"/>
        </w:rPr>
        <w:t>Maxpar</w:t>
      </w:r>
      <w:proofErr w:type="spellEnd"/>
      <w:r>
        <w:rPr>
          <w:rFonts w:ascii="Arial" w:hAnsi="Arial" w:cs="Arial"/>
          <w:b/>
          <w:bCs/>
          <w:sz w:val="22"/>
          <w:szCs w:val="22"/>
          <w:lang w:val="en-US"/>
        </w:rPr>
        <w:t xml:space="preserve"> Pathsetter</w:t>
      </w:r>
      <w:r>
        <w:rPr>
          <w:rFonts w:ascii="Symbol" w:eastAsia="Symbol" w:hAnsi="Symbol" w:cs="Symbol"/>
          <w:b/>
          <w:bCs/>
          <w:sz w:val="22"/>
          <w:szCs w:val="22"/>
          <w:lang w:val="en-US"/>
        </w:rPr>
        <w:t>ä</w:t>
      </w:r>
    </w:p>
    <w:p w14:paraId="78F0FB3E" w14:textId="77777777" w:rsidR="0049053A" w:rsidRDefault="0049053A" w:rsidP="0049053A">
      <w:pPr>
        <w:spacing w:line="480" w:lineRule="auto"/>
        <w:rPr>
          <w:rFonts w:ascii="Arial" w:hAnsi="Arial" w:cs="Arial"/>
          <w:b/>
          <w:bCs/>
          <w:sz w:val="32"/>
          <w:szCs w:val="32"/>
          <w:u w:val="single"/>
          <w:lang w:val="en-US"/>
        </w:rPr>
      </w:pPr>
      <w:r w:rsidRPr="00AE485B">
        <w:rPr>
          <w:noProof/>
          <w:lang w:val="en-US"/>
        </w:rPr>
        <w:t xml:space="preserve"> </w:t>
      </w:r>
      <w:r w:rsidRPr="00187130">
        <w:rPr>
          <w:noProof/>
          <w:lang w:val="en-US"/>
        </w:rPr>
        <w:t xml:space="preserve"> </w:t>
      </w:r>
    </w:p>
    <w:p w14:paraId="4FE3820B" w14:textId="5BFF6404" w:rsidR="0049053A" w:rsidRDefault="0049053A" w:rsidP="0049053A">
      <w:pPr>
        <w:spacing w:line="480" w:lineRule="auto"/>
        <w:rPr>
          <w:rFonts w:ascii="Arial" w:hAnsi="Arial" w:cs="Arial"/>
          <w:color w:val="FF0000"/>
          <w:sz w:val="22"/>
          <w:szCs w:val="22"/>
          <w:lang w:val="en-US"/>
        </w:rPr>
      </w:pPr>
      <w:r w:rsidRPr="008F6960">
        <w:rPr>
          <w:noProof/>
          <w:lang w:val="en-US"/>
        </w:rPr>
        <w:lastRenderedPageBreak/>
        <w:t xml:space="preserve"> </w:t>
      </w:r>
      <w:r w:rsidR="00E67FEF">
        <w:rPr>
          <w:noProof/>
          <w:lang w:val="en-US"/>
        </w:rPr>
        <w:drawing>
          <wp:inline distT="0" distB="0" distL="0" distR="0" wp14:anchorId="5EDA78EA" wp14:editId="76C531EA">
            <wp:extent cx="5760720" cy="7519670"/>
            <wp:effectExtent l="0" t="0" r="5080" b="0"/>
            <wp:docPr id="25795526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955263" name="Grafik 25795526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1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87130">
        <w:rPr>
          <w:noProof/>
          <w:lang w:val="en-US"/>
        </w:rPr>
        <w:t xml:space="preserve">  </w:t>
      </w:r>
      <w:r w:rsidR="00E67FEF">
        <w:rPr>
          <w:rFonts w:ascii="Arial" w:hAnsi="Arial" w:cs="Arial"/>
          <w:noProof/>
          <w:color w:val="FF0000"/>
          <w:sz w:val="22"/>
          <w:szCs w:val="22"/>
          <w:lang w:val="en-US"/>
        </w:rPr>
        <w:lastRenderedPageBreak/>
        <w:drawing>
          <wp:inline distT="0" distB="0" distL="0" distR="0" wp14:anchorId="6FACCA10" wp14:editId="716625CE">
            <wp:extent cx="5760720" cy="2844165"/>
            <wp:effectExtent l="0" t="0" r="5080" b="635"/>
            <wp:docPr id="1961136754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136754" name="Grafik 196113675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22F69">
        <w:rPr>
          <w:rFonts w:ascii="Arial" w:hAnsi="Arial" w:cs="Arial"/>
          <w:color w:val="FF0000"/>
          <w:sz w:val="22"/>
          <w:szCs w:val="22"/>
          <w:lang w:val="en-US"/>
        </w:rPr>
        <w:t xml:space="preserve">  </w:t>
      </w:r>
    </w:p>
    <w:p w14:paraId="6600B7E3" w14:textId="77777777" w:rsidR="0049053A" w:rsidRPr="00EA4B8C" w:rsidRDefault="0049053A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3D196D">
        <w:rPr>
          <w:rFonts w:ascii="Arial" w:hAnsi="Arial" w:cs="Arial"/>
          <w:b/>
          <w:bCs/>
          <w:sz w:val="22"/>
          <w:szCs w:val="22"/>
          <w:lang w:val="en-US"/>
        </w:rPr>
        <w:t xml:space="preserve">Supplemental Figure </w:t>
      </w:r>
      <w:r>
        <w:rPr>
          <w:rFonts w:ascii="Arial" w:hAnsi="Arial" w:cs="Arial"/>
          <w:b/>
          <w:bCs/>
          <w:sz w:val="22"/>
          <w:szCs w:val="22"/>
          <w:lang w:val="en-US"/>
        </w:rPr>
        <w:t>2</w:t>
      </w:r>
      <w:r w:rsidRPr="003D196D">
        <w:rPr>
          <w:rFonts w:ascii="Arial" w:hAnsi="Arial" w:cs="Arial"/>
          <w:b/>
          <w:bCs/>
          <w:sz w:val="22"/>
          <w:szCs w:val="22"/>
          <w:lang w:val="en-US"/>
        </w:rPr>
        <w:t>: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Proximity extension assay of 26 immune-modulatory proteins before and after parabolic flight. </w:t>
      </w:r>
    </w:p>
    <w:p w14:paraId="449B5BC7" w14:textId="77777777" w:rsidR="0049053A" w:rsidRDefault="0049053A" w:rsidP="0049053A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F96204">
        <w:rPr>
          <w:rFonts w:ascii="Arial" w:hAnsi="Arial" w:cs="Arial"/>
          <w:sz w:val="20"/>
          <w:szCs w:val="20"/>
          <w:lang w:val="en-US"/>
        </w:rPr>
        <w:t xml:space="preserve">Proximity extension assay </w:t>
      </w:r>
      <w:r>
        <w:rPr>
          <w:rFonts w:ascii="Arial" w:hAnsi="Arial" w:cs="Arial"/>
          <w:sz w:val="20"/>
          <w:szCs w:val="20"/>
          <w:lang w:val="en-US"/>
        </w:rPr>
        <w:t xml:space="preserve">(PEA;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Olink</w:t>
      </w:r>
      <w:proofErr w:type="spellEnd"/>
      <w:r w:rsidRPr="00D261C5">
        <w:rPr>
          <w:rFonts w:ascii="Symbol" w:eastAsia="Symbol" w:hAnsi="Symbol" w:cs="Symbol"/>
          <w:sz w:val="20"/>
          <w:szCs w:val="20"/>
          <w:vertAlign w:val="superscript"/>
          <w:lang w:val="en-US"/>
        </w:rPr>
        <w:t>Ò</w:t>
      </w:r>
      <w:r>
        <w:rPr>
          <w:rFonts w:ascii="Arial" w:hAnsi="Arial" w:cs="Arial"/>
          <w:sz w:val="20"/>
          <w:szCs w:val="20"/>
          <w:lang w:val="en-US"/>
        </w:rPr>
        <w:t xml:space="preserve">) </w:t>
      </w:r>
      <w:r w:rsidRPr="00F96204">
        <w:rPr>
          <w:rFonts w:ascii="Arial" w:hAnsi="Arial" w:cs="Arial"/>
          <w:sz w:val="20"/>
          <w:szCs w:val="20"/>
          <w:lang w:val="en-US"/>
        </w:rPr>
        <w:t xml:space="preserve">performed on blood samples </w:t>
      </w:r>
      <w:r>
        <w:rPr>
          <w:rFonts w:ascii="Arial" w:hAnsi="Arial" w:cs="Arial"/>
          <w:sz w:val="20"/>
          <w:szCs w:val="20"/>
          <w:lang w:val="en-US"/>
        </w:rPr>
        <w:t xml:space="preserve">at baseline, and 1 h and 24 </w:t>
      </w:r>
      <w:proofErr w:type="gramStart"/>
      <w:r>
        <w:rPr>
          <w:rFonts w:ascii="Arial" w:hAnsi="Arial" w:cs="Arial"/>
          <w:sz w:val="20"/>
          <w:szCs w:val="20"/>
          <w:lang w:val="en-US"/>
        </w:rPr>
        <w:t>h  after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parabolic flight </w:t>
      </w:r>
      <w:r w:rsidRPr="00F96204">
        <w:rPr>
          <w:rFonts w:ascii="Arial" w:hAnsi="Arial" w:cs="Arial"/>
          <w:sz w:val="20"/>
          <w:szCs w:val="20"/>
          <w:lang w:val="en-US"/>
        </w:rPr>
        <w:t xml:space="preserve">and evaluated regarding </w:t>
      </w:r>
      <w:r>
        <w:rPr>
          <w:rFonts w:ascii="Arial" w:hAnsi="Arial" w:cs="Arial"/>
          <w:sz w:val="20"/>
          <w:szCs w:val="20"/>
          <w:lang w:val="en-US"/>
        </w:rPr>
        <w:t>levels of 26 immune-modulatory proteins</w:t>
      </w:r>
      <w:r w:rsidRPr="00F96204">
        <w:rPr>
          <w:rFonts w:ascii="Arial" w:hAnsi="Arial" w:cs="Arial"/>
          <w:sz w:val="20"/>
          <w:szCs w:val="20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 xml:space="preserve"> Protein abundance is indicated as NPX-value (Normalized Protein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eXpression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), an arbitrary logarithmic unit by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Olink</w:t>
      </w:r>
      <w:proofErr w:type="spellEnd"/>
      <w:proofErr w:type="gramStart"/>
      <w:r w:rsidRPr="00790205">
        <w:rPr>
          <w:rFonts w:ascii="Symbol" w:eastAsia="Symbol" w:hAnsi="Symbol" w:cs="Symbol"/>
          <w:sz w:val="20"/>
          <w:szCs w:val="20"/>
          <w:vertAlign w:val="superscript"/>
          <w:lang w:val="en-US"/>
        </w:rPr>
        <w:t>Ò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.</w:t>
      </w:r>
      <w:r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Pr="00F96204">
        <w:rPr>
          <w:rFonts w:ascii="Arial" w:hAnsi="Arial" w:cs="Arial"/>
          <w:sz w:val="20"/>
          <w:szCs w:val="20"/>
          <w:lang w:val="en-US"/>
        </w:rPr>
        <w:t xml:space="preserve"> Statistical analyses were performed with the one-way ANOVA test and Tukey’s multiple comparisons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14:paraId="171CB2BE" w14:textId="77777777" w:rsidR="0049053A" w:rsidRDefault="0049053A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4301E782" w14:textId="77777777" w:rsidR="0049053A" w:rsidRPr="003D196D" w:rsidRDefault="0049053A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3B1B40D1" w14:textId="77777777" w:rsidR="0049053A" w:rsidRPr="00AE485B" w:rsidRDefault="0049053A" w:rsidP="0049053A">
      <w:pPr>
        <w:spacing w:line="480" w:lineRule="auto"/>
        <w:rPr>
          <w:noProof/>
          <w:lang w:val="en-US"/>
        </w:rPr>
      </w:pPr>
      <w:r w:rsidRPr="00AE485B">
        <w:rPr>
          <w:noProof/>
          <w:lang w:val="en-US"/>
        </w:rPr>
        <w:t xml:space="preserve"> </w:t>
      </w:r>
    </w:p>
    <w:p w14:paraId="1F925C8F" w14:textId="1E49A330" w:rsidR="0049053A" w:rsidRDefault="00E67FEF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>
        <w:rPr>
          <w:rFonts w:ascii="Arial" w:hAnsi="Arial" w:cs="Arial"/>
          <w:b/>
          <w:bCs/>
          <w:noProof/>
          <w:sz w:val="22"/>
          <w:szCs w:val="22"/>
          <w:lang w:val="en-US"/>
        </w:rPr>
        <w:lastRenderedPageBreak/>
        <w:drawing>
          <wp:inline distT="0" distB="0" distL="0" distR="0" wp14:anchorId="50705944" wp14:editId="28020AD4">
            <wp:extent cx="5760720" cy="4874895"/>
            <wp:effectExtent l="0" t="0" r="5080" b="1905"/>
            <wp:docPr id="640934041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934041" name="Grafik 64093404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58A21" w14:textId="77777777" w:rsidR="0049053A" w:rsidRPr="00EA4B8C" w:rsidRDefault="0049053A" w:rsidP="0049053A">
      <w:pPr>
        <w:spacing w:line="480" w:lineRule="auto"/>
        <w:rPr>
          <w:rFonts w:ascii="Arial" w:hAnsi="Arial" w:cs="Arial"/>
          <w:b/>
          <w:bCs/>
          <w:sz w:val="22"/>
          <w:szCs w:val="22"/>
          <w:lang w:val="en-US"/>
        </w:rPr>
      </w:pPr>
      <w:r w:rsidRPr="003D196D">
        <w:rPr>
          <w:rFonts w:ascii="Arial" w:hAnsi="Arial" w:cs="Arial"/>
          <w:b/>
          <w:bCs/>
          <w:sz w:val="22"/>
          <w:szCs w:val="22"/>
          <w:lang w:val="en-US"/>
        </w:rPr>
        <w:t xml:space="preserve">Supplemental Figure </w:t>
      </w:r>
      <w:r>
        <w:rPr>
          <w:rFonts w:ascii="Arial" w:hAnsi="Arial" w:cs="Arial"/>
          <w:b/>
          <w:bCs/>
          <w:sz w:val="22"/>
          <w:szCs w:val="22"/>
          <w:lang w:val="en-US"/>
        </w:rPr>
        <w:t>3</w:t>
      </w:r>
      <w:r w:rsidRPr="003D196D">
        <w:rPr>
          <w:rFonts w:ascii="Arial" w:hAnsi="Arial" w:cs="Arial"/>
          <w:b/>
          <w:bCs/>
          <w:sz w:val="22"/>
          <w:szCs w:val="22"/>
          <w:lang w:val="en-US"/>
        </w:rPr>
        <w:t>:</w:t>
      </w:r>
      <w:r>
        <w:rPr>
          <w:rFonts w:ascii="Arial" w:hAnsi="Arial" w:cs="Arial"/>
          <w:b/>
          <w:bCs/>
          <w:sz w:val="22"/>
          <w:szCs w:val="22"/>
          <w:lang w:val="en-US"/>
        </w:rPr>
        <w:t xml:space="preserve"> Circulating immune cells before and after parabolic flight </w:t>
      </w:r>
    </w:p>
    <w:p w14:paraId="66673CAF" w14:textId="0A061FE3" w:rsidR="0049053A" w:rsidRPr="00E67FEF" w:rsidRDefault="0049053A" w:rsidP="00E67FEF">
      <w:pPr>
        <w:spacing w:line="48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F96204">
        <w:rPr>
          <w:rFonts w:ascii="Arial" w:hAnsi="Arial" w:cs="Arial"/>
          <w:sz w:val="20"/>
          <w:szCs w:val="20"/>
          <w:lang w:val="en-US"/>
        </w:rPr>
        <w:t>CyTOF</w:t>
      </w:r>
      <w:proofErr w:type="spellEnd"/>
      <w:r w:rsidRPr="00F96204">
        <w:rPr>
          <w:rFonts w:ascii="Arial" w:hAnsi="Arial" w:cs="Arial"/>
          <w:sz w:val="20"/>
          <w:szCs w:val="20"/>
          <w:lang w:val="en-US"/>
        </w:rPr>
        <w:t xml:space="preserve"> analysis performed on PBMCs </w:t>
      </w:r>
      <w:r>
        <w:rPr>
          <w:rFonts w:ascii="Arial" w:hAnsi="Arial" w:cs="Arial"/>
          <w:sz w:val="20"/>
          <w:szCs w:val="20"/>
          <w:lang w:val="en-US"/>
        </w:rPr>
        <w:t xml:space="preserve">at baseline and 1 h and 24 h </w:t>
      </w:r>
      <w:r w:rsidRPr="00F96204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after parabolic flight</w:t>
      </w:r>
      <w:r w:rsidRPr="00F96204">
        <w:rPr>
          <w:rFonts w:ascii="Arial" w:hAnsi="Arial" w:cs="Arial"/>
          <w:sz w:val="20"/>
          <w:szCs w:val="20"/>
          <w:lang w:val="en-US"/>
        </w:rPr>
        <w:t xml:space="preserve"> and analyzed regarding the relative count of </w:t>
      </w:r>
      <w:r>
        <w:rPr>
          <w:rFonts w:ascii="Arial" w:hAnsi="Arial" w:cs="Arial"/>
          <w:sz w:val="20"/>
          <w:szCs w:val="20"/>
          <w:lang w:val="en-US"/>
        </w:rPr>
        <w:t>(a) Effector memory CD8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T cells (</w:t>
      </w:r>
      <w:r w:rsidRPr="00AE485B">
        <w:rPr>
          <w:rFonts w:ascii="Arial" w:hAnsi="Arial" w:cs="Arial"/>
          <w:sz w:val="20"/>
          <w:szCs w:val="20"/>
          <w:lang w:val="en-US"/>
        </w:rPr>
        <w:t>CD27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dim+</w:t>
      </w:r>
      <w:r w:rsidRPr="00AE485B">
        <w:rPr>
          <w:rFonts w:ascii="Arial" w:hAnsi="Arial" w:cs="Arial"/>
          <w:sz w:val="20"/>
          <w:szCs w:val="20"/>
          <w:lang w:val="en-US"/>
        </w:rPr>
        <w:t xml:space="preserve"> CCR7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dim- </w:t>
      </w:r>
      <w:r w:rsidRPr="00AE485B">
        <w:rPr>
          <w:rFonts w:ascii="Arial" w:hAnsi="Arial" w:cs="Arial"/>
          <w:sz w:val="20"/>
          <w:szCs w:val="20"/>
          <w:lang w:val="en-US"/>
        </w:rPr>
        <w:t>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E485B">
        <w:rPr>
          <w:rFonts w:ascii="Arial" w:hAnsi="Arial" w:cs="Arial"/>
          <w:sz w:val="20"/>
          <w:szCs w:val="20"/>
          <w:lang w:val="en-US"/>
        </w:rPr>
        <w:t xml:space="preserve"> CD8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AE485B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 (b) Terminal effector CD8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T cells (</w:t>
      </w:r>
      <w:r w:rsidRPr="00E471A7">
        <w:rPr>
          <w:rFonts w:ascii="Arial" w:hAnsi="Arial" w:cs="Arial"/>
          <w:sz w:val="20"/>
          <w:szCs w:val="20"/>
          <w:lang w:val="en-US"/>
        </w:rPr>
        <w:t>CD27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E471A7">
        <w:rPr>
          <w:rFonts w:ascii="Arial" w:hAnsi="Arial" w:cs="Arial"/>
          <w:sz w:val="20"/>
          <w:szCs w:val="20"/>
          <w:lang w:val="en-US"/>
        </w:rPr>
        <w:t>CCR7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E471A7">
        <w:rPr>
          <w:rFonts w:ascii="Arial" w:hAnsi="Arial" w:cs="Arial"/>
          <w:sz w:val="20"/>
          <w:szCs w:val="20"/>
          <w:lang w:val="en-US"/>
        </w:rPr>
        <w:t xml:space="preserve"> </w:t>
      </w:r>
      <w:r w:rsidRPr="00D261C5">
        <w:rPr>
          <w:rFonts w:ascii="Arial" w:hAnsi="Arial" w:cs="Arial"/>
          <w:sz w:val="20"/>
          <w:szCs w:val="20"/>
          <w:lang w:val="en-US"/>
        </w:rPr>
        <w:t>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D261C5">
        <w:rPr>
          <w:rFonts w:ascii="Arial" w:hAnsi="Arial" w:cs="Arial"/>
          <w:sz w:val="20"/>
          <w:szCs w:val="20"/>
          <w:lang w:val="en-US"/>
        </w:rPr>
        <w:t xml:space="preserve"> CD8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D261C5">
        <w:rPr>
          <w:rFonts w:ascii="Arial" w:hAnsi="Arial" w:cs="Arial"/>
          <w:sz w:val="20"/>
          <w:szCs w:val="20"/>
          <w:lang w:val="en-US"/>
        </w:rPr>
        <w:t xml:space="preserve"> </w:t>
      </w:r>
      <w:r w:rsidRPr="00E471A7">
        <w:rPr>
          <w:rFonts w:ascii="Arial" w:hAnsi="Arial" w:cs="Arial"/>
          <w:sz w:val="20"/>
          <w:szCs w:val="20"/>
          <w:lang w:val="en-US"/>
        </w:rPr>
        <w:t>cells</w:t>
      </w:r>
      <w:r>
        <w:rPr>
          <w:rFonts w:ascii="Arial" w:hAnsi="Arial" w:cs="Arial"/>
          <w:sz w:val="20"/>
          <w:szCs w:val="20"/>
          <w:lang w:val="en-US"/>
        </w:rPr>
        <w:t xml:space="preserve">), (c) </w:t>
      </w:r>
      <w:proofErr w:type="spellStart"/>
      <w:r w:rsidRPr="00D66DE3">
        <w:rPr>
          <w:rFonts w:ascii="Arial" w:hAnsi="Arial" w:cs="Arial"/>
          <w:sz w:val="20"/>
          <w:szCs w:val="20"/>
          <w:lang w:val="en-US"/>
        </w:rPr>
        <w:t>γδ</w:t>
      </w:r>
      <w:r>
        <w:rPr>
          <w:rFonts w:ascii="Arial" w:hAnsi="Arial" w:cs="Arial"/>
          <w:sz w:val="20"/>
          <w:szCs w:val="20"/>
          <w:lang w:val="en-US"/>
        </w:rPr>
        <w:t>T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cells (</w:t>
      </w:r>
      <w:proofErr w:type="spellStart"/>
      <w:r w:rsidRPr="00D66DE3">
        <w:rPr>
          <w:rFonts w:ascii="Arial" w:hAnsi="Arial" w:cs="Arial"/>
          <w:sz w:val="20"/>
          <w:szCs w:val="20"/>
          <w:lang w:val="en-US"/>
        </w:rPr>
        <w:t>TCRγδ</w:t>
      </w:r>
      <w:proofErr w:type="spellEnd"/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D66DE3">
        <w:rPr>
          <w:rFonts w:ascii="Arial" w:hAnsi="Arial" w:cs="Arial"/>
          <w:sz w:val="20"/>
          <w:szCs w:val="20"/>
          <w:lang w:val="en-US"/>
        </w:rPr>
        <w:t xml:space="preserve"> CD8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dim+ </w:t>
      </w:r>
      <w:r>
        <w:rPr>
          <w:rFonts w:ascii="Arial" w:hAnsi="Arial" w:cs="Arial"/>
          <w:sz w:val="20"/>
          <w:szCs w:val="20"/>
          <w:lang w:val="en-US"/>
        </w:rPr>
        <w:t>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D66DE3">
        <w:rPr>
          <w:rFonts w:ascii="Arial" w:hAnsi="Arial" w:cs="Arial"/>
          <w:sz w:val="20"/>
          <w:szCs w:val="20"/>
          <w:lang w:val="en-US"/>
        </w:rPr>
        <w:t>cells</w:t>
      </w:r>
      <w:r>
        <w:rPr>
          <w:rFonts w:ascii="Arial" w:hAnsi="Arial" w:cs="Arial"/>
          <w:sz w:val="20"/>
          <w:szCs w:val="20"/>
          <w:lang w:val="en-US"/>
        </w:rPr>
        <w:t>), (d) Effector memory T helper cells (</w:t>
      </w:r>
      <w:r w:rsidRPr="00F07275">
        <w:rPr>
          <w:rFonts w:ascii="Arial" w:hAnsi="Arial" w:cs="Arial"/>
          <w:sz w:val="20"/>
          <w:szCs w:val="20"/>
          <w:lang w:val="en-US"/>
        </w:rPr>
        <w:t>CD27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F07275">
        <w:rPr>
          <w:rFonts w:ascii="Arial" w:hAnsi="Arial" w:cs="Arial"/>
          <w:sz w:val="20"/>
          <w:szCs w:val="20"/>
          <w:lang w:val="en-US"/>
        </w:rPr>
        <w:t xml:space="preserve"> CCR7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dim- </w:t>
      </w:r>
      <w:r w:rsidRPr="00F07275">
        <w:rPr>
          <w:rFonts w:ascii="Arial" w:hAnsi="Arial" w:cs="Arial"/>
          <w:sz w:val="20"/>
          <w:szCs w:val="20"/>
          <w:lang w:val="en-US"/>
        </w:rPr>
        <w:t>CD45RA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0727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CD4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>
        <w:rPr>
          <w:rFonts w:ascii="Arial" w:hAnsi="Arial" w:cs="Arial"/>
          <w:sz w:val="20"/>
          <w:szCs w:val="20"/>
          <w:lang w:val="en-US"/>
        </w:rPr>
        <w:t>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Pr="00F07275">
        <w:rPr>
          <w:rFonts w:ascii="Arial" w:hAnsi="Arial" w:cs="Arial"/>
          <w:sz w:val="20"/>
          <w:szCs w:val="20"/>
          <w:lang w:val="en-US"/>
        </w:rPr>
        <w:t>cells</w:t>
      </w:r>
      <w:r>
        <w:rPr>
          <w:rFonts w:ascii="Arial" w:hAnsi="Arial" w:cs="Arial"/>
          <w:sz w:val="20"/>
          <w:szCs w:val="20"/>
          <w:lang w:val="en-US"/>
        </w:rPr>
        <w:t>), (e) Terminal effector memory T helper cells (</w:t>
      </w:r>
      <w:r w:rsidRPr="00F07275">
        <w:rPr>
          <w:rFonts w:ascii="Arial" w:hAnsi="Arial" w:cs="Arial"/>
          <w:sz w:val="20"/>
          <w:szCs w:val="20"/>
          <w:lang w:val="en-US"/>
        </w:rPr>
        <w:t>CD45RA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F07275">
        <w:rPr>
          <w:rFonts w:ascii="Arial" w:hAnsi="Arial" w:cs="Arial"/>
          <w:sz w:val="20"/>
          <w:szCs w:val="20"/>
          <w:lang w:val="en-US"/>
        </w:rPr>
        <w:t xml:space="preserve"> CR7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07275">
        <w:rPr>
          <w:rFonts w:ascii="Arial" w:hAnsi="Arial" w:cs="Arial"/>
          <w:sz w:val="20"/>
          <w:szCs w:val="20"/>
          <w:lang w:val="en-US"/>
        </w:rPr>
        <w:t xml:space="preserve"> CD27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0727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CD4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>
        <w:rPr>
          <w:rFonts w:ascii="Arial" w:hAnsi="Arial" w:cs="Arial"/>
          <w:sz w:val="20"/>
          <w:szCs w:val="20"/>
          <w:lang w:val="en-US"/>
        </w:rPr>
        <w:t xml:space="preserve"> 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F07275">
        <w:rPr>
          <w:rFonts w:ascii="Arial" w:hAnsi="Arial" w:cs="Arial"/>
          <w:sz w:val="20"/>
          <w:szCs w:val="20"/>
          <w:lang w:val="en-US"/>
        </w:rPr>
        <w:t>cells</w:t>
      </w:r>
      <w:r>
        <w:rPr>
          <w:rFonts w:ascii="Arial" w:hAnsi="Arial" w:cs="Arial"/>
          <w:sz w:val="20"/>
          <w:szCs w:val="20"/>
          <w:lang w:val="en-US"/>
        </w:rPr>
        <w:t>), (f) Th-17 like T helper cells (</w:t>
      </w:r>
      <w:r w:rsidRPr="0076071A">
        <w:rPr>
          <w:rFonts w:ascii="Arial" w:hAnsi="Arial" w:cs="Arial"/>
          <w:sz w:val="20"/>
          <w:szCs w:val="20"/>
          <w:lang w:val="en-US"/>
        </w:rPr>
        <w:t>CCR4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CCR6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CXCR3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76071A">
        <w:rPr>
          <w:rFonts w:ascii="Arial" w:hAnsi="Arial" w:cs="Arial"/>
          <w:sz w:val="20"/>
          <w:szCs w:val="20"/>
          <w:lang w:val="en-US"/>
        </w:rPr>
        <w:t>CXCR5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CD45RA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 (g) NK cells (</w:t>
      </w:r>
      <w:r w:rsidRPr="0076071A">
        <w:rPr>
          <w:rFonts w:ascii="Arial" w:hAnsi="Arial" w:cs="Arial"/>
          <w:sz w:val="20"/>
          <w:szCs w:val="20"/>
          <w:lang w:val="en-US"/>
        </w:rPr>
        <w:t>CD56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dim+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CD45RA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CD66b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CD123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CD3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CD14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 (h) early NK cells (</w:t>
      </w:r>
      <w:r w:rsidRPr="0076071A">
        <w:rPr>
          <w:rFonts w:ascii="Arial" w:hAnsi="Arial" w:cs="Arial"/>
          <w:sz w:val="20"/>
          <w:szCs w:val="20"/>
          <w:lang w:val="en-US"/>
        </w:rPr>
        <w:t>CD57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76071A">
        <w:rPr>
          <w:rFonts w:ascii="Arial" w:hAnsi="Arial" w:cs="Arial"/>
          <w:sz w:val="20"/>
          <w:szCs w:val="20"/>
          <w:lang w:val="en-US"/>
        </w:rPr>
        <w:t>CD56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dim+ </w:t>
      </w:r>
      <w:r w:rsidRPr="0076071A">
        <w:rPr>
          <w:rFonts w:ascii="Arial" w:hAnsi="Arial" w:cs="Arial"/>
          <w:sz w:val="20"/>
          <w:szCs w:val="20"/>
          <w:lang w:val="en-US"/>
        </w:rPr>
        <w:t>CD45RA</w:t>
      </w:r>
      <w:r w:rsidRPr="004169A9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76071A">
        <w:rPr>
          <w:rFonts w:ascii="Arial" w:hAnsi="Arial" w:cs="Arial"/>
          <w:sz w:val="20"/>
          <w:szCs w:val="20"/>
          <w:lang w:val="en-US"/>
        </w:rPr>
        <w:t>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76071A">
        <w:rPr>
          <w:rFonts w:ascii="Arial" w:hAnsi="Arial" w:cs="Arial"/>
          <w:sz w:val="20"/>
          <w:szCs w:val="20"/>
          <w:lang w:val="en-US"/>
        </w:rPr>
        <w:t>CD123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76071A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 (</w:t>
      </w:r>
      <w:proofErr w:type="spellStart"/>
      <w:r>
        <w:rPr>
          <w:rFonts w:ascii="Arial" w:hAnsi="Arial" w:cs="Arial"/>
          <w:sz w:val="20"/>
          <w:szCs w:val="20"/>
          <w:lang w:val="en-US"/>
        </w:rPr>
        <w:t>i</w:t>
      </w:r>
      <w:proofErr w:type="spellEnd"/>
      <w:r>
        <w:rPr>
          <w:rFonts w:ascii="Arial" w:hAnsi="Arial" w:cs="Arial"/>
          <w:sz w:val="20"/>
          <w:szCs w:val="20"/>
          <w:lang w:val="en-US"/>
        </w:rPr>
        <w:t>) late NK cells (</w:t>
      </w:r>
      <w:r w:rsidRPr="00605B1F">
        <w:rPr>
          <w:rFonts w:ascii="Arial" w:hAnsi="Arial" w:cs="Arial"/>
          <w:sz w:val="20"/>
          <w:szCs w:val="20"/>
          <w:lang w:val="en-US"/>
        </w:rPr>
        <w:t>CD57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cells of  CD56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dim+ </w:t>
      </w:r>
      <w:r w:rsidRPr="00605B1F">
        <w:rPr>
          <w:rFonts w:ascii="Arial" w:hAnsi="Arial" w:cs="Arial"/>
          <w:sz w:val="20"/>
          <w:szCs w:val="20"/>
          <w:lang w:val="en-US"/>
        </w:rPr>
        <w:t>CD45RA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CD123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605B1F">
        <w:rPr>
          <w:rFonts w:ascii="Arial" w:hAnsi="Arial" w:cs="Arial"/>
          <w:sz w:val="20"/>
          <w:szCs w:val="20"/>
          <w:lang w:val="en-US"/>
        </w:rPr>
        <w:t>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cells), (j) Classical monocytes (</w:t>
      </w:r>
      <w:r w:rsidRPr="00605B1F">
        <w:rPr>
          <w:rFonts w:ascii="Arial" w:hAnsi="Arial" w:cs="Arial"/>
          <w:sz w:val="20"/>
          <w:szCs w:val="20"/>
          <w:lang w:val="en-US"/>
        </w:rPr>
        <w:t>CD38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605B1F">
        <w:rPr>
          <w:rFonts w:ascii="Arial" w:hAnsi="Arial" w:cs="Arial"/>
          <w:sz w:val="20"/>
          <w:szCs w:val="20"/>
          <w:lang w:val="en-US"/>
        </w:rPr>
        <w:t>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CD11c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05B1F">
        <w:rPr>
          <w:rFonts w:ascii="Arial" w:hAnsi="Arial" w:cs="Arial"/>
          <w:sz w:val="20"/>
          <w:szCs w:val="20"/>
          <w:lang w:val="en-US"/>
        </w:rPr>
        <w:t>HLADR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dim</w:t>
      </w:r>
      <w:proofErr w:type="spellEnd"/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605B1F">
        <w:rPr>
          <w:rFonts w:ascii="Arial" w:hAnsi="Arial" w:cs="Arial"/>
          <w:sz w:val="20"/>
          <w:szCs w:val="20"/>
          <w:lang w:val="en-US"/>
        </w:rPr>
        <w:t>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605B1F">
        <w:rPr>
          <w:rFonts w:ascii="Arial" w:hAnsi="Arial" w:cs="Arial"/>
          <w:sz w:val="20"/>
          <w:szCs w:val="20"/>
          <w:lang w:val="en-US"/>
        </w:rPr>
        <w:t>CD56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CD19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(k) Transitional Monocytes (</w:t>
      </w:r>
      <w:r w:rsidRPr="00605B1F">
        <w:rPr>
          <w:rFonts w:ascii="Arial" w:hAnsi="Arial" w:cs="Arial"/>
          <w:sz w:val="20"/>
          <w:szCs w:val="20"/>
          <w:lang w:val="en-US"/>
        </w:rPr>
        <w:t>CD38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dim-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CD11c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605B1F">
        <w:rPr>
          <w:rFonts w:ascii="Arial" w:hAnsi="Arial" w:cs="Arial"/>
          <w:sz w:val="20"/>
          <w:szCs w:val="20"/>
          <w:lang w:val="en-US"/>
        </w:rPr>
        <w:t>HLADR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dim</w:t>
      </w:r>
      <w:proofErr w:type="spellEnd"/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605B1F">
        <w:rPr>
          <w:rFonts w:ascii="Arial" w:hAnsi="Arial" w:cs="Arial"/>
          <w:sz w:val="20"/>
          <w:szCs w:val="20"/>
          <w:lang w:val="en-US"/>
        </w:rPr>
        <w:t>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CD56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605B1F">
        <w:rPr>
          <w:rFonts w:ascii="Arial" w:hAnsi="Arial" w:cs="Arial"/>
          <w:sz w:val="20"/>
          <w:szCs w:val="20"/>
          <w:lang w:val="en-US"/>
        </w:rPr>
        <w:t>CD19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605B1F">
        <w:rPr>
          <w:rFonts w:ascii="Arial" w:hAnsi="Arial" w:cs="Arial"/>
          <w:sz w:val="20"/>
          <w:szCs w:val="20"/>
          <w:lang w:val="en-US"/>
        </w:rPr>
        <w:t xml:space="preserve"> cell</w:t>
      </w:r>
      <w:r>
        <w:rPr>
          <w:rFonts w:ascii="Arial" w:hAnsi="Arial" w:cs="Arial"/>
          <w:sz w:val="20"/>
          <w:szCs w:val="20"/>
          <w:lang w:val="en-US"/>
        </w:rPr>
        <w:t>s), (l) Non-classical Monocytes (</w:t>
      </w:r>
      <w:r w:rsidRPr="00FC1A84">
        <w:rPr>
          <w:rFonts w:ascii="Arial" w:hAnsi="Arial" w:cs="Arial"/>
          <w:sz w:val="20"/>
          <w:szCs w:val="20"/>
          <w:lang w:val="en-US"/>
        </w:rPr>
        <w:t>CD38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FC1A84">
        <w:rPr>
          <w:rFonts w:ascii="Arial" w:hAnsi="Arial" w:cs="Arial"/>
          <w:sz w:val="20"/>
          <w:szCs w:val="20"/>
          <w:lang w:val="en-US"/>
        </w:rPr>
        <w:t>CD11c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C1A84">
        <w:rPr>
          <w:rFonts w:ascii="Arial" w:hAnsi="Arial" w:cs="Arial"/>
          <w:sz w:val="20"/>
          <w:szCs w:val="20"/>
          <w:lang w:val="en-US"/>
        </w:rPr>
        <w:t>HLADR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dim</w:t>
      </w:r>
      <w:proofErr w:type="spellEnd"/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FC1A84">
        <w:rPr>
          <w:rFonts w:ascii="Arial" w:hAnsi="Arial" w:cs="Arial"/>
          <w:sz w:val="20"/>
          <w:szCs w:val="20"/>
          <w:lang w:val="en-US"/>
        </w:rPr>
        <w:t>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CD56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CD19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cells</w:t>
      </w:r>
      <w:r>
        <w:rPr>
          <w:rFonts w:ascii="Arial" w:hAnsi="Arial" w:cs="Arial"/>
          <w:sz w:val="20"/>
          <w:szCs w:val="20"/>
          <w:lang w:val="en-US"/>
        </w:rPr>
        <w:t>), (m) MAIT and NKT cells (</w:t>
      </w:r>
      <w:r w:rsidRPr="00FC1A84">
        <w:rPr>
          <w:rFonts w:ascii="Arial" w:hAnsi="Arial" w:cs="Arial"/>
          <w:sz w:val="20"/>
          <w:szCs w:val="20"/>
          <w:lang w:val="en-US"/>
        </w:rPr>
        <w:t>CD161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dim+ </w:t>
      </w:r>
      <w:r w:rsidRPr="00FC1A84">
        <w:rPr>
          <w:rFonts w:ascii="Arial" w:hAnsi="Arial" w:cs="Arial"/>
          <w:sz w:val="20"/>
          <w:szCs w:val="20"/>
          <w:lang w:val="en-US"/>
        </w:rPr>
        <w:t>CD28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+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FC1A84">
        <w:rPr>
          <w:rFonts w:ascii="Arial" w:hAnsi="Arial" w:cs="Arial"/>
          <w:sz w:val="20"/>
          <w:szCs w:val="20"/>
          <w:lang w:val="en-US"/>
        </w:rPr>
        <w:t>TCRγδ</w:t>
      </w:r>
      <w:proofErr w:type="spellEnd"/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- </w:t>
      </w:r>
      <w:r w:rsidRPr="00FC1A84">
        <w:rPr>
          <w:rFonts w:ascii="Arial" w:hAnsi="Arial" w:cs="Arial"/>
          <w:sz w:val="20"/>
          <w:szCs w:val="20"/>
          <w:lang w:val="en-US"/>
        </w:rPr>
        <w:t>CD16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CD14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CD66b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>-</w:t>
      </w:r>
      <w:r w:rsidRPr="00FC1A84">
        <w:rPr>
          <w:rFonts w:ascii="Arial" w:hAnsi="Arial" w:cs="Arial"/>
          <w:sz w:val="20"/>
          <w:szCs w:val="20"/>
          <w:lang w:val="en-US"/>
        </w:rPr>
        <w:t xml:space="preserve"> CD3</w:t>
      </w:r>
      <w:r w:rsidRPr="00A14AB3">
        <w:rPr>
          <w:rFonts w:ascii="Arial" w:hAnsi="Arial" w:cs="Arial"/>
          <w:sz w:val="20"/>
          <w:szCs w:val="20"/>
          <w:vertAlign w:val="superscript"/>
          <w:lang w:val="en-US"/>
        </w:rPr>
        <w:t xml:space="preserve">+ </w:t>
      </w:r>
      <w:r w:rsidRPr="00FC1A84">
        <w:rPr>
          <w:rFonts w:ascii="Arial" w:hAnsi="Arial" w:cs="Arial"/>
          <w:sz w:val="20"/>
          <w:szCs w:val="20"/>
          <w:lang w:val="en-US"/>
        </w:rPr>
        <w:t>cells</w:t>
      </w:r>
      <w:r>
        <w:rPr>
          <w:rFonts w:ascii="Arial" w:hAnsi="Arial" w:cs="Arial"/>
          <w:sz w:val="20"/>
          <w:szCs w:val="20"/>
          <w:lang w:val="en-US"/>
        </w:rPr>
        <w:t>).</w:t>
      </w:r>
      <w:r w:rsidRPr="00E471A7">
        <w:rPr>
          <w:rFonts w:ascii="Arial" w:hAnsi="Arial" w:cs="Arial"/>
          <w:sz w:val="20"/>
          <w:szCs w:val="20"/>
          <w:lang w:val="en-US"/>
        </w:rPr>
        <w:t xml:space="preserve"> </w:t>
      </w:r>
      <w:r w:rsidRPr="00F96204">
        <w:rPr>
          <w:rFonts w:ascii="Arial" w:hAnsi="Arial" w:cs="Arial"/>
          <w:sz w:val="20"/>
          <w:szCs w:val="20"/>
          <w:lang w:val="en-US"/>
        </w:rPr>
        <w:t>Statistical analyses were performed with the one-way ANOVA test and Tukey’s multiple comparisons</w:t>
      </w:r>
      <w:r>
        <w:rPr>
          <w:rFonts w:ascii="Arial" w:hAnsi="Arial" w:cs="Arial"/>
          <w:sz w:val="20"/>
          <w:szCs w:val="20"/>
          <w:lang w:val="en-US"/>
        </w:rPr>
        <w:t>.</w:t>
      </w:r>
    </w:p>
    <w:sectPr w:rsidR="0049053A" w:rsidRPr="00E67FE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53A"/>
    <w:rsid w:val="00050345"/>
    <w:rsid w:val="0049053A"/>
    <w:rsid w:val="00E6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39505F"/>
  <w15:chartTrackingRefBased/>
  <w15:docId w15:val="{CB87DBDA-8032-AD4F-8B7D-42F0D8271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053A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4905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905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9053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9053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9053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9053A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9053A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9053A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9053A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905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905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905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9053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9053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9053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9053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9053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9053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905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905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9053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905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9053A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9053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9053A"/>
    <w:pPr>
      <w:spacing w:after="160" w:line="278" w:lineRule="auto"/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9053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905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9053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905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281</Words>
  <Characters>1627</Characters>
  <Application>Microsoft Office Word</Application>
  <DocSecurity>0</DocSecurity>
  <Lines>34</Lines>
  <Paragraphs>7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Madlen Okkasian</dc:creator>
  <cp:keywords/>
  <dc:description/>
  <cp:lastModifiedBy>Madlen Okkasian</cp:lastModifiedBy>
  <cp:revision>2</cp:revision>
  <dcterms:created xsi:type="dcterms:W3CDTF">2026-07-01T21:27:00Z</dcterms:created>
  <dcterms:modified xsi:type="dcterms:W3CDTF">2026-07-01T21:35:00Z</dcterms:modified>
</cp:coreProperties>
</file>