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E481" w14:textId="1B8E89A3" w:rsidR="004D44E1" w:rsidRDefault="00916B7F">
      <w:pPr>
        <w:rPr>
          <w:lang w:val="en-US"/>
        </w:rPr>
      </w:pPr>
      <w:r>
        <w:rPr>
          <w:lang w:val="en-US"/>
        </w:rPr>
        <w:t>Additional file 1. Data-charting and synthesis tables (Tables A1–A12)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"/>
        <w:gridCol w:w="1417"/>
        <w:gridCol w:w="1210"/>
        <w:gridCol w:w="1053"/>
        <w:gridCol w:w="1355"/>
        <w:gridCol w:w="981"/>
        <w:gridCol w:w="1647"/>
      </w:tblGrid>
      <w:tr w:rsidR="00147486" w:rsidRPr="0017359C" w14:paraId="3494C90B" w14:textId="77777777" w:rsidTr="004F148E">
        <w:tc>
          <w:tcPr>
            <w:tcW w:w="90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6D277" w14:textId="75857FDF" w:rsidR="00147486" w:rsidRPr="00C8282B" w:rsidRDefault="00147486" w:rsidP="00C82AD7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8282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Table A1:</w:t>
            </w:r>
            <w:r w:rsidRPr="00C8282B">
              <w:rPr>
                <w:rFonts w:ascii="Arial" w:hAnsi="Arial" w:cs="Arial"/>
                <w:sz w:val="16"/>
                <w:szCs w:val="16"/>
                <w:lang w:val="en-US"/>
              </w:rPr>
              <w:t xml:space="preserve"> Studies’ general description</w:t>
            </w:r>
          </w:p>
        </w:tc>
      </w:tr>
      <w:tr w:rsidR="00147486" w:rsidRPr="0017359C" w14:paraId="76893455" w14:textId="77777777" w:rsidTr="004F148E"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16C1C" w14:textId="77777777" w:rsidR="00147486" w:rsidRPr="0017359C" w:rsidRDefault="00147486" w:rsidP="00C82AD7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Author(s)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D4218" w14:textId="77777777" w:rsidR="00147486" w:rsidRPr="0017359C" w:rsidRDefault="00147486" w:rsidP="00C82AD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Country/Region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D56FB" w14:textId="77777777" w:rsidR="00147486" w:rsidRPr="0017359C" w:rsidRDefault="00147486" w:rsidP="00C82AD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Education Level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EA0DE" w14:textId="77777777" w:rsidR="00147486" w:rsidRPr="0017359C" w:rsidRDefault="00147486" w:rsidP="00C82AD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Children Age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E3BA5" w14:textId="77777777" w:rsidR="00147486" w:rsidRPr="0017359C" w:rsidRDefault="00147486" w:rsidP="00C82AD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Children Languages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2D7FF" w14:textId="77777777" w:rsidR="00147486" w:rsidRPr="0017359C" w:rsidRDefault="00147486" w:rsidP="00C82AD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Children n</w:t>
            </w:r>
            <w:r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o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52E2D" w14:textId="77777777" w:rsidR="00147486" w:rsidRPr="0017359C" w:rsidRDefault="00147486" w:rsidP="00C82AD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Study design</w:t>
            </w:r>
          </w:p>
        </w:tc>
      </w:tr>
      <w:tr w:rsidR="00147486" w:rsidRPr="0017359C" w14:paraId="7C62F8CF" w14:textId="77777777" w:rsidTr="004F148E"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9A5BB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Becker &amp; Knoll (2022)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7AC5B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Switzerland (German speaking)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C0C75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Day care centre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69F7A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Not specified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0BCEC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German (L1), English (L2), multiple home/heritage languages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5C8D04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Not specified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AB6C8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qualitative: </w:t>
            </w:r>
            <w:r>
              <w:rPr>
                <w:rFonts w:ascii="Arial" w:hAnsi="Arial" w:cs="Arial"/>
                <w:sz w:val="16"/>
                <w:szCs w:val="16"/>
              </w:rPr>
              <w:t>focused ethnography</w:t>
            </w:r>
          </w:p>
        </w:tc>
      </w:tr>
      <w:tr w:rsidR="00147486" w:rsidRPr="0017359C" w14:paraId="75D09F20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7BF01B73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Engel de Abreu et al. (2025)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5A0D87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Luxembourg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AC5CC89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Preschool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1446B1B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4-5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8CD9B4A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Portuguese (L1), Luxembourgish (L2),  German (L3)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42CB2D5E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186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07983908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quantitative: </w:t>
            </w:r>
            <w:r>
              <w:rPr>
                <w:rFonts w:ascii="Arial" w:hAnsi="Arial" w:cs="Arial"/>
                <w:sz w:val="16"/>
                <w:szCs w:val="16"/>
              </w:rPr>
              <w:t>randomized controlled trial</w:t>
            </w:r>
          </w:p>
        </w:tc>
      </w:tr>
      <w:tr w:rsidR="00147486" w:rsidRPr="0017359C" w14:paraId="31DA5F27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F7589CE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Geiger-Jaillet &amp; Schlemminger (2023)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34955A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France, Alsace 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B527EA6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Kindergarten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6D1A828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5-6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42CD821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French (L1), German (L2), Alsatian dialect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076C3C6A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5E565A7D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qualitative: observational </w:t>
            </w:r>
          </w:p>
        </w:tc>
      </w:tr>
      <w:tr w:rsidR="00147486" w:rsidRPr="0017359C" w14:paraId="389F9855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1812AAB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Gkaintartzi &amp; Katsara (2024)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4EB13E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Greece, south Greece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CF29089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Preschool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709F98BB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5-6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5B32A48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Greek (L1), English (L2)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3569D8CF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11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38AF5012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qualitative: </w:t>
            </w:r>
            <w:r>
              <w:rPr>
                <w:rFonts w:ascii="Arial" w:hAnsi="Arial" w:cs="Arial"/>
                <w:sz w:val="16"/>
                <w:szCs w:val="16"/>
              </w:rPr>
              <w:t>action research</w:t>
            </w:r>
          </w:p>
        </w:tc>
      </w:tr>
      <w:tr w:rsidR="00147486" w:rsidRPr="0017359C" w14:paraId="3E796732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DA3CDE4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Incognito et al. (2021)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1E9BF0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Italy/Tuscany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151268B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Preschool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140931E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4-5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558999A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Chinese and other minority/home languages (L1), Italian (L2),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53096929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2B14226D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quantitative: </w:t>
            </w:r>
            <w:r>
              <w:rPr>
                <w:rFonts w:ascii="Arial" w:hAnsi="Arial" w:cs="Arial"/>
                <w:sz w:val="16"/>
                <w:szCs w:val="16"/>
              </w:rPr>
              <w:t>cluster-randomized controlled trial</w:t>
            </w:r>
          </w:p>
        </w:tc>
      </w:tr>
      <w:tr w:rsidR="00147486" w:rsidRPr="0017359C" w14:paraId="252B51A0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278BA76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Kirsch &amp; Bergeron-Morin (2023)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961DC6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Luxembourg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6013E20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Day care centre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18B91B95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2-4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063E153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Luxembourgish, German, French and other home languages (not clear L1 or L2)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62C7D77C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24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27A2A1F1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qualitative: </w:t>
            </w:r>
            <w:r>
              <w:rPr>
                <w:rFonts w:ascii="Arial" w:hAnsi="Arial" w:cs="Arial"/>
                <w:sz w:val="16"/>
                <w:szCs w:val="16"/>
              </w:rPr>
              <w:t xml:space="preserve">multiple case study / observational </w:t>
            </w:r>
          </w:p>
        </w:tc>
      </w:tr>
      <w:tr w:rsidR="00147486" w:rsidRPr="0017359C" w14:paraId="62F9B4FE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9E72E03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Laursen &amp; Daugaard (2025)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DCD620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Denmark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70F4379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Preschool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F9C3521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5-6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6AEE0FE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Arabic, Dari, Pashto, Somali (L1), Danish (L2)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2DFA5E58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7902295C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qualitative: </w:t>
            </w:r>
            <w:r>
              <w:rPr>
                <w:rFonts w:ascii="Arial" w:hAnsi="Arial" w:cs="Arial"/>
                <w:sz w:val="16"/>
                <w:szCs w:val="16"/>
              </w:rPr>
              <w:t>micro-ethnographic case study</w:t>
            </w:r>
          </w:p>
        </w:tc>
      </w:tr>
      <w:tr w:rsidR="00147486" w:rsidRPr="0017359C" w14:paraId="04E0E3DE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0A156CE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Lilja et al. (2025)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8BF134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Sweden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BB145F5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Preschool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AD5C1B0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3-5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574562E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 different languages (L1), Swedish (L2)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4B1AE300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Not clear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61834AFE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mixed methods: </w:t>
            </w:r>
            <w:r>
              <w:rPr>
                <w:rFonts w:ascii="Arial" w:hAnsi="Arial" w:cs="Arial"/>
                <w:sz w:val="16"/>
                <w:szCs w:val="16"/>
              </w:rPr>
              <w:t>implementation study</w:t>
            </w:r>
          </w:p>
        </w:tc>
      </w:tr>
      <w:tr w:rsidR="00147486" w:rsidRPr="0017359C" w14:paraId="4FC12893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42927D36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Lundberg et al. (2023)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DA57FD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Sweden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B6E3072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Preschool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D454D59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3-5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6B51132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Swedish, multiple  home languages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5B61780A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61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4546FF69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qualitative: ethographic</w:t>
            </w:r>
          </w:p>
        </w:tc>
      </w:tr>
      <w:tr w:rsidR="00147486" w:rsidRPr="0017359C" w14:paraId="1AC7A530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403E698B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Rendón-Romero, Navarro-Pablo &amp; García-Jiménez (2021)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63C0AE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Spain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E39C1E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Primary school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CE8FAA0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6-7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0E389CA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Spanish (L1), English (L2)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1429F708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52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28F6AFEB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quantitative: </w:t>
            </w:r>
            <w:r>
              <w:rPr>
                <w:rFonts w:ascii="Arial" w:hAnsi="Arial" w:cs="Arial"/>
                <w:sz w:val="16"/>
                <w:szCs w:val="16"/>
              </w:rPr>
              <w:t>experimental pre-test/post-test with control group</w:t>
            </w:r>
          </w:p>
        </w:tc>
      </w:tr>
      <w:tr w:rsidR="00147486" w:rsidRPr="0017359C" w14:paraId="2D11A2F1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7818DB9B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Sundström et al. (2024)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ADB9D9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Sweden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BFB370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Preschool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853C865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6-7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13BBC6F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L1 (not mentioned), Swedish (L2)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0BB8BDD4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26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495716C7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quantitative: </w:t>
            </w:r>
            <w:r>
              <w:rPr>
                <w:rFonts w:ascii="Arial" w:hAnsi="Arial" w:cs="Arial"/>
                <w:sz w:val="16"/>
                <w:szCs w:val="16"/>
              </w:rPr>
              <w:t>non-randomized pretest-posttest control group design</w:t>
            </w:r>
          </w:p>
        </w:tc>
      </w:tr>
      <w:tr w:rsidR="00147486" w:rsidRPr="0017359C" w14:paraId="43337577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18A4B871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Uhl, Steinlen &amp; Piske (2023)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448612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Germany, Bavaria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9D80ACD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Primary school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10231F0A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7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E6A6E78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German (L1), French (L2), diverse heritage languages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441CAF09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186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1B73C403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quantitative: </w:t>
            </w:r>
            <w:r>
              <w:rPr>
                <w:rFonts w:ascii="Arial" w:hAnsi="Arial" w:cs="Arial"/>
                <w:sz w:val="16"/>
                <w:szCs w:val="16"/>
              </w:rPr>
              <w:t>comparative cross-sectional design</w:t>
            </w:r>
          </w:p>
        </w:tc>
      </w:tr>
      <w:tr w:rsidR="00147486" w:rsidRPr="0017359C" w14:paraId="3B705309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82E2FEC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Verhagen et al. (2024)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F13479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Netherlands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676C139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ECEC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24DF9B8C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2-4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15F1CA8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Dutch and/or English exposed children, children from other language-homes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28DB27DC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584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7A94D9B1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quantitative: </w:t>
            </w:r>
            <w:r>
              <w:rPr>
                <w:rFonts w:ascii="Arial" w:hAnsi="Arial" w:cs="Arial"/>
                <w:sz w:val="16"/>
                <w:szCs w:val="16"/>
              </w:rPr>
              <w:t>longitudinal observational study</w:t>
            </w:r>
          </w:p>
        </w:tc>
      </w:tr>
      <w:tr w:rsidR="00147486" w:rsidRPr="0017359C" w14:paraId="60E5D2FC" w14:textId="77777777" w:rsidTr="004F148E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F2E644C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Voltmer et al. (2021)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CAA442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Germany, Lower Saxony, Hamburg 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60C39FE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Kindergarten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E1979B9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2.75-5.5 years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25F8DBD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German (monolingual) and DLL (other home languages not specified)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56CD7C34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281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2422AA23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quantitative: </w:t>
            </w:r>
            <w:r>
              <w:rPr>
                <w:rFonts w:ascii="Arial" w:hAnsi="Arial" w:cs="Arial"/>
                <w:sz w:val="16"/>
                <w:szCs w:val="16"/>
              </w:rPr>
              <w:t>quasi-experimental longitudinal study</w:t>
            </w:r>
          </w:p>
        </w:tc>
      </w:tr>
      <w:tr w:rsidR="00147486" w:rsidRPr="0017359C" w14:paraId="69CBADE3" w14:textId="77777777" w:rsidTr="004F148E"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BF851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Žefran, Bratož &amp; Rutar (2025)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23568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Slovenia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7CBE5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Kindergarten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5E670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5-6 years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60CC9" w14:textId="77777777" w:rsidR="00147486" w:rsidRPr="0017359C" w:rsidRDefault="00147486" w:rsidP="008C740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Italian, Slovenian (L1), Slovenian (L2), English (L3)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55A67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Not reported (3 child interviews)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A1B07" w14:textId="77777777" w:rsidR="00147486" w:rsidRPr="0017359C" w:rsidRDefault="00147486" w:rsidP="008C740D">
            <w:pPr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mixed methods: </w:t>
            </w:r>
            <w:r>
              <w:rPr>
                <w:rFonts w:ascii="Arial" w:hAnsi="Arial" w:cs="Arial"/>
                <w:sz w:val="16"/>
                <w:szCs w:val="16"/>
              </w:rPr>
              <w:t>programme evaluation</w:t>
            </w:r>
          </w:p>
        </w:tc>
      </w:tr>
    </w:tbl>
    <w:p w14:paraId="5DA4607F" w14:textId="77777777" w:rsidR="00147486" w:rsidRDefault="00147486">
      <w:pPr>
        <w:rPr>
          <w:lang w:val="en-US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7"/>
        <w:gridCol w:w="1990"/>
        <w:gridCol w:w="284"/>
        <w:gridCol w:w="549"/>
        <w:gridCol w:w="890"/>
        <w:gridCol w:w="1808"/>
        <w:gridCol w:w="261"/>
        <w:gridCol w:w="1825"/>
        <w:gridCol w:w="53"/>
      </w:tblGrid>
      <w:tr w:rsidR="00147486" w:rsidRPr="0017359C" w14:paraId="6B6F6ED7" w14:textId="77777777" w:rsidTr="008D0CCB">
        <w:trPr>
          <w:gridAfter w:val="1"/>
          <w:wAfter w:w="51" w:type="dxa"/>
        </w:trPr>
        <w:tc>
          <w:tcPr>
            <w:tcW w:w="9016" w:type="dxa"/>
            <w:gridSpan w:val="8"/>
            <w:tcBorders>
              <w:bottom w:val="single" w:sz="4" w:space="0" w:color="auto"/>
            </w:tcBorders>
          </w:tcPr>
          <w:p w14:paraId="4ACE67C3" w14:textId="468630A9" w:rsidR="00147486" w:rsidRPr="00C8282B" w:rsidRDefault="00147486" w:rsidP="00A00D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8282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lastRenderedPageBreak/>
              <w:t>Table A2</w:t>
            </w:r>
            <w:r w:rsidRPr="00C8282B">
              <w:rPr>
                <w:rFonts w:ascii="Arial" w:hAnsi="Arial" w:cs="Arial"/>
                <w:sz w:val="16"/>
                <w:szCs w:val="16"/>
                <w:lang w:val="en-US"/>
              </w:rPr>
              <w:t xml:space="preserve"> Theories, pedagogical approaches and targeted competence domain(s)</w:t>
            </w:r>
          </w:p>
        </w:tc>
      </w:tr>
      <w:tr w:rsidR="00147486" w:rsidRPr="0017359C" w14:paraId="012D0FA9" w14:textId="77777777" w:rsidTr="008D0CCB">
        <w:trPr>
          <w:gridAfter w:val="1"/>
          <w:wAfter w:w="51" w:type="dxa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CFC277E" w14:textId="77777777" w:rsidR="00147486" w:rsidRPr="0017359C" w:rsidRDefault="00147486" w:rsidP="00A00DA3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Study 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6083CA23" w14:textId="77777777" w:rsidR="00147486" w:rsidRPr="0017359C" w:rsidRDefault="00147486" w:rsidP="00A00DA3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Theory or theoretical framework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EE97DA" w14:textId="77777777" w:rsidR="00147486" w:rsidRPr="0017359C" w:rsidRDefault="00147486" w:rsidP="00A00DA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Pedagogical approach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6E4458B0" w14:textId="77777777" w:rsidR="00147486" w:rsidRPr="0017359C" w:rsidRDefault="00147486" w:rsidP="00A00DA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Targeted competence domain(s)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0B579D" w14:textId="77777777" w:rsidR="00147486" w:rsidRPr="0017359C" w:rsidRDefault="00147486" w:rsidP="00A00DA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Broader categorisation</w:t>
            </w:r>
          </w:p>
        </w:tc>
      </w:tr>
      <w:tr w:rsidR="00147486" w:rsidRPr="0017359C" w14:paraId="07ACFE3A" w14:textId="77777777" w:rsidTr="008D0CCB">
        <w:trPr>
          <w:gridAfter w:val="1"/>
          <w:wAfter w:w="51" w:type="dxa"/>
        </w:trPr>
        <w:tc>
          <w:tcPr>
            <w:tcW w:w="1406" w:type="dxa"/>
            <w:tcBorders>
              <w:top w:val="single" w:sz="4" w:space="0" w:color="auto"/>
            </w:tcBorders>
          </w:tcPr>
          <w:p w14:paraId="38BE6FE8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Becker &amp; Knoll (2022)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14:paraId="7CD7E2E2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Translanguaging, code-switching, and </w:t>
            </w:r>
            <w:r>
              <w:rPr>
                <w:rFonts w:ascii="Arial" w:hAnsi="Arial" w:cs="Arial"/>
                <w:sz w:val="16"/>
                <w:szCs w:val="16"/>
              </w:rPr>
              <w:t>language hierarchies / ideologies</w:t>
            </w:r>
          </w:p>
          <w:p w14:paraId="0127E7F9" w14:textId="77777777" w:rsidR="00147486" w:rsidRPr="0017359C" w:rsidRDefault="00147486" w:rsidP="00A00DA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724" w:type="dxa"/>
            <w:gridSpan w:val="3"/>
            <w:tcBorders>
              <w:top w:val="single" w:sz="4" w:space="0" w:color="auto"/>
            </w:tcBorders>
          </w:tcPr>
          <w:p w14:paraId="72FAF646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Bilingual instructional language contexts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20C6CBD3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Participation / identity / agency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</w:tcBorders>
          </w:tcPr>
          <w:p w14:paraId="05862E5B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Translanguaging / plurilingual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approaches</w:t>
            </w:r>
          </w:p>
        </w:tc>
      </w:tr>
      <w:tr w:rsidR="00147486" w:rsidRPr="0017359C" w14:paraId="16CE7756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12A1AE25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Engel de Abreu et al. (2025)</w:t>
            </w:r>
          </w:p>
        </w:tc>
        <w:tc>
          <w:tcPr>
            <w:tcW w:w="1991" w:type="dxa"/>
          </w:tcPr>
          <w:p w14:paraId="5FA28852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Cross-language transfer facilitation models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Linguistic Interdependence Hypothesis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additive bilingualism</w:t>
            </w:r>
          </w:p>
        </w:tc>
        <w:tc>
          <w:tcPr>
            <w:tcW w:w="1724" w:type="dxa"/>
            <w:gridSpan w:val="3"/>
          </w:tcPr>
          <w:p w14:paraId="7954AB8B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MOLLY (Mother-tongue Oral Language and Early Literacy for the Young)</w:t>
            </w:r>
          </w:p>
        </w:tc>
        <w:tc>
          <w:tcPr>
            <w:tcW w:w="1809" w:type="dxa"/>
          </w:tcPr>
          <w:p w14:paraId="4045FA11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Oral language; literacy / emergent literacy </w:t>
            </w:r>
          </w:p>
        </w:tc>
        <w:tc>
          <w:tcPr>
            <w:tcW w:w="2086" w:type="dxa"/>
            <w:gridSpan w:val="2"/>
          </w:tcPr>
          <w:p w14:paraId="579740B5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Oral language / literacy intervention approaches</w:t>
            </w:r>
          </w:p>
          <w:p w14:paraId="609A341F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147486" w:rsidRPr="0017359C" w14:paraId="1AE47F7E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09C4CB34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Geiger-Jaillet &amp;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Schlemminger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(2023)</w:t>
            </w:r>
          </w:p>
        </w:tc>
        <w:tc>
          <w:tcPr>
            <w:tcW w:w="1991" w:type="dxa"/>
          </w:tcPr>
          <w:p w14:paraId="5DB43CC4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Translanguaging practices </w:t>
            </w:r>
          </w:p>
        </w:tc>
        <w:tc>
          <w:tcPr>
            <w:tcW w:w="1724" w:type="dxa"/>
            <w:gridSpan w:val="3"/>
          </w:tcPr>
          <w:p w14:paraId="668C11DA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Immersion-based pedagogy</w:t>
            </w:r>
          </w:p>
        </w:tc>
        <w:tc>
          <w:tcPr>
            <w:tcW w:w="1809" w:type="dxa"/>
          </w:tcPr>
          <w:p w14:paraId="2695D28E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Metalinguistic / plurilingual awareness; oral language interaction</w:t>
            </w:r>
          </w:p>
        </w:tc>
        <w:tc>
          <w:tcPr>
            <w:tcW w:w="2086" w:type="dxa"/>
            <w:gridSpan w:val="2"/>
          </w:tcPr>
          <w:p w14:paraId="5CBB5CD0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Translanguaging / plurilingual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approaches</w:t>
            </w:r>
          </w:p>
        </w:tc>
      </w:tr>
      <w:tr w:rsidR="00147486" w:rsidRPr="0017359C" w14:paraId="4A05E858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4AFBB5C7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Gkaintartzi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Katsara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(2024)</w:t>
            </w:r>
          </w:p>
        </w:tc>
        <w:tc>
          <w:tcPr>
            <w:tcW w:w="1991" w:type="dxa"/>
          </w:tcPr>
          <w:p w14:paraId="35796531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Language Awareness (LA); Multilingual Awareness ;  FREPA; Awakening to Languages (AtL)</w:t>
            </w:r>
          </w:p>
        </w:tc>
        <w:tc>
          <w:tcPr>
            <w:tcW w:w="1724" w:type="dxa"/>
            <w:gridSpan w:val="3"/>
          </w:tcPr>
          <w:p w14:paraId="0D2BD0BC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Educational critical action research</w:t>
            </w:r>
          </w:p>
        </w:tc>
        <w:tc>
          <w:tcPr>
            <w:tcW w:w="1809" w:type="dxa"/>
          </w:tcPr>
          <w:p w14:paraId="64F37E28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Metalinguistic / plurilingual awareness; intercultural awareness / attitudes</w:t>
            </w:r>
          </w:p>
        </w:tc>
        <w:tc>
          <w:tcPr>
            <w:tcW w:w="2086" w:type="dxa"/>
            <w:gridSpan w:val="2"/>
          </w:tcPr>
          <w:p w14:paraId="6C3BB7C5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Pluralistic / language-awareness approaches</w:t>
            </w:r>
          </w:p>
        </w:tc>
      </w:tr>
      <w:tr w:rsidR="00147486" w:rsidRPr="0017359C" w14:paraId="1B4C73A9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5FAF4179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Incognito et al. (2021)</w:t>
            </w:r>
          </w:p>
          <w:p w14:paraId="616FA010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991" w:type="dxa"/>
          </w:tcPr>
          <w:p w14:paraId="125C6F3D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Comprehensive Emergent Literacy Model (CELM)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Vygotskian Zone of Proximal Development (ZPD) </w:t>
            </w:r>
          </w:p>
        </w:tc>
        <w:tc>
          <w:tcPr>
            <w:tcW w:w="1724" w:type="dxa"/>
            <w:gridSpan w:val="3"/>
          </w:tcPr>
          <w:p w14:paraId="7F244070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PASSI (Promoting the Achievement of Sound-Sign Integration) </w:t>
            </w:r>
            <w:r>
              <w:rPr>
                <w:rFonts w:ascii="Arial" w:hAnsi="Arial" w:cs="Arial"/>
                <w:sz w:val="16"/>
                <w:szCs w:val="16"/>
              </w:rPr>
              <w:t>with an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embedded-explicit approach</w:t>
            </w:r>
          </w:p>
        </w:tc>
        <w:tc>
          <w:tcPr>
            <w:tcW w:w="1809" w:type="dxa"/>
          </w:tcPr>
          <w:p w14:paraId="2CC8FB41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Literacy/emergent literacy </w:t>
            </w:r>
          </w:p>
        </w:tc>
        <w:tc>
          <w:tcPr>
            <w:tcW w:w="2086" w:type="dxa"/>
            <w:gridSpan w:val="2"/>
          </w:tcPr>
          <w:p w14:paraId="355BBC1D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Literacy and emergent-literacy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approaches</w:t>
            </w:r>
          </w:p>
        </w:tc>
      </w:tr>
      <w:tr w:rsidR="00147486" w:rsidRPr="0017359C" w14:paraId="6442099B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5EFDED0A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Kirsch &amp; Bergeron-Morin (2023)</w:t>
            </w:r>
          </w:p>
        </w:tc>
        <w:tc>
          <w:tcPr>
            <w:tcW w:w="1991" w:type="dxa"/>
          </w:tcPr>
          <w:p w14:paraId="4E7B7FE2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Sociocultural learning </w:t>
            </w:r>
            <w:r>
              <w:rPr>
                <w:rFonts w:ascii="Arial" w:hAnsi="Arial" w:cs="Arial"/>
                <w:sz w:val="16"/>
                <w:szCs w:val="16"/>
              </w:rPr>
              <w:t>theory;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ecological system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theor</w:t>
            </w:r>
            <w:r>
              <w:rPr>
                <w:rFonts w:ascii="Arial" w:hAnsi="Arial" w:cs="Arial"/>
                <w:sz w:val="16"/>
                <w:szCs w:val="16"/>
              </w:rPr>
              <w:t>y;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translanguaging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communities of practice</w:t>
            </w:r>
          </w:p>
        </w:tc>
        <w:tc>
          <w:tcPr>
            <w:tcW w:w="1724" w:type="dxa"/>
            <w:gridSpan w:val="3"/>
          </w:tcPr>
          <w:p w14:paraId="72E5E67A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Inclusive and participatory literacy practices</w:t>
            </w:r>
            <w:r>
              <w:rPr>
                <w:rFonts w:ascii="Arial" w:hAnsi="Arial" w:cs="Arial"/>
                <w:sz w:val="16"/>
                <w:szCs w:val="16"/>
              </w:rPr>
              <w:t xml:space="preserve"> using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shared/dialogic reading</w:t>
            </w:r>
          </w:p>
        </w:tc>
        <w:tc>
          <w:tcPr>
            <w:tcW w:w="1809" w:type="dxa"/>
          </w:tcPr>
          <w:p w14:paraId="78C7CD4E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Literacy / emergent literacy</w:t>
            </w:r>
            <w:r>
              <w:rPr>
                <w:rFonts w:ascii="Arial" w:hAnsi="Arial" w:cs="Arial"/>
                <w:sz w:val="16"/>
                <w:szCs w:val="16"/>
              </w:rPr>
              <w:t>; oral language; participation / inclusion</w:t>
            </w:r>
          </w:p>
        </w:tc>
        <w:tc>
          <w:tcPr>
            <w:tcW w:w="2086" w:type="dxa"/>
            <w:gridSpan w:val="2"/>
          </w:tcPr>
          <w:p w14:paraId="241C1443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Home–ECEC collaboration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approaches</w:t>
            </w:r>
          </w:p>
        </w:tc>
      </w:tr>
      <w:tr w:rsidR="00147486" w:rsidRPr="0017359C" w14:paraId="15C4F5AB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54777326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Laursen &amp; Daugaard (2025)</w:t>
            </w:r>
          </w:p>
        </w:tc>
        <w:tc>
          <w:tcPr>
            <w:tcW w:w="1991" w:type="dxa"/>
          </w:tcPr>
          <w:p w14:paraId="05894B9B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Affect and Space theories; symbolic view of language ; metalanguaging </w:t>
            </w:r>
          </w:p>
        </w:tc>
        <w:tc>
          <w:tcPr>
            <w:tcW w:w="1724" w:type="dxa"/>
            <w:gridSpan w:val="3"/>
          </w:tcPr>
          <w:p w14:paraId="7F2621C4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Dialog multilingual literacy</w:t>
            </w:r>
          </w:p>
        </w:tc>
        <w:tc>
          <w:tcPr>
            <w:tcW w:w="1809" w:type="dxa"/>
          </w:tcPr>
          <w:p w14:paraId="74EA5FB3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Metalinguistic / plurilingual awareness; participation / identity / agency</w:t>
            </w:r>
          </w:p>
        </w:tc>
        <w:tc>
          <w:tcPr>
            <w:tcW w:w="2086" w:type="dxa"/>
            <w:gridSpan w:val="2"/>
          </w:tcPr>
          <w:p w14:paraId="5E664DD6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Translanguaging / plurilingual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approaches</w:t>
            </w:r>
          </w:p>
        </w:tc>
      </w:tr>
      <w:tr w:rsidR="00147486" w:rsidRPr="0017359C" w14:paraId="6716EB18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40115C51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Lilja et al. (2025)</w:t>
            </w:r>
          </w:p>
        </w:tc>
        <w:tc>
          <w:tcPr>
            <w:tcW w:w="1991" w:type="dxa"/>
          </w:tcPr>
          <w:p w14:paraId="750F55EE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Usage-based and socio-cognitive perspectives; Implementation Science</w:t>
            </w:r>
          </w:p>
        </w:tc>
        <w:tc>
          <w:tcPr>
            <w:tcW w:w="1724" w:type="dxa"/>
            <w:gridSpan w:val="3"/>
          </w:tcPr>
          <w:p w14:paraId="686088BD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sz w:val="16"/>
                <w:szCs w:val="16"/>
                <w:lang w:val="fr-FR"/>
              </w:rPr>
              <w:t>Explicit vs. Implicit narrative instruction</w:t>
            </w:r>
          </w:p>
        </w:tc>
        <w:tc>
          <w:tcPr>
            <w:tcW w:w="1809" w:type="dxa"/>
          </w:tcPr>
          <w:p w14:paraId="5A6AAF79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Oral language </w:t>
            </w:r>
          </w:p>
        </w:tc>
        <w:tc>
          <w:tcPr>
            <w:tcW w:w="2086" w:type="dxa"/>
            <w:gridSpan w:val="2"/>
          </w:tcPr>
          <w:p w14:paraId="49DA959D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Oral language / literacy intervention approaches</w:t>
            </w:r>
          </w:p>
          <w:p w14:paraId="61AA8E03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147486" w:rsidRPr="0017359C" w14:paraId="518502CE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7545E809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Lundberg et al. (2023)</w:t>
            </w:r>
          </w:p>
        </w:tc>
        <w:tc>
          <w:tcPr>
            <w:tcW w:w="1991" w:type="dxa"/>
          </w:tcPr>
          <w:p w14:paraId="15E385D4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Bernstein’s Competence Model; translanguaging </w:t>
            </w:r>
          </w:p>
        </w:tc>
        <w:tc>
          <w:tcPr>
            <w:tcW w:w="1724" w:type="dxa"/>
            <w:gridSpan w:val="3"/>
          </w:tcPr>
          <w:p w14:paraId="5491C080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Translanguaging pedagogy</w:t>
            </w:r>
          </w:p>
        </w:tc>
        <w:tc>
          <w:tcPr>
            <w:tcW w:w="1809" w:type="dxa"/>
          </w:tcPr>
          <w:p w14:paraId="7692C7F6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Participation / identity / agency; Metalinguistic / plurilingual awareness </w:t>
            </w:r>
          </w:p>
        </w:tc>
        <w:tc>
          <w:tcPr>
            <w:tcW w:w="2086" w:type="dxa"/>
            <w:gridSpan w:val="2"/>
          </w:tcPr>
          <w:p w14:paraId="780E23EC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Translanguaging / plurilingual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approaches</w:t>
            </w:r>
          </w:p>
        </w:tc>
      </w:tr>
      <w:tr w:rsidR="00147486" w:rsidRPr="0017359C" w14:paraId="524DB136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76C96C3A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Rendón-Romero, Navarro-Pablo &amp; García-Jiménez (2021)</w:t>
            </w:r>
          </w:p>
        </w:tc>
        <w:tc>
          <w:tcPr>
            <w:tcW w:w="1991" w:type="dxa"/>
          </w:tcPr>
          <w:p w14:paraId="2849F3A5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Phonics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phonological awareness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biliteracy transference </w:t>
            </w:r>
          </w:p>
        </w:tc>
        <w:tc>
          <w:tcPr>
            <w:tcW w:w="1724" w:type="dxa"/>
            <w:gridSpan w:val="3"/>
          </w:tcPr>
          <w:p w14:paraId="3814BD1C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Phonics-based instruction (Jolly Phonics)</w:t>
            </w:r>
          </w:p>
        </w:tc>
        <w:tc>
          <w:tcPr>
            <w:tcW w:w="1809" w:type="dxa"/>
          </w:tcPr>
          <w:p w14:paraId="0EA7AF8B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Literacy / emergent literacy</w:t>
            </w:r>
          </w:p>
        </w:tc>
        <w:tc>
          <w:tcPr>
            <w:tcW w:w="2086" w:type="dxa"/>
            <w:gridSpan w:val="2"/>
          </w:tcPr>
          <w:p w14:paraId="52062F34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Literacy / emergent literacy </w:t>
            </w:r>
            <w:r>
              <w:rPr>
                <w:rFonts w:ascii="Arial" w:hAnsi="Arial" w:cs="Arial"/>
                <w:sz w:val="16"/>
                <w:szCs w:val="16"/>
              </w:rPr>
              <w:t>approaches</w:t>
            </w:r>
          </w:p>
        </w:tc>
      </w:tr>
      <w:tr w:rsidR="00147486" w:rsidRPr="0017359C" w14:paraId="59A91A88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642F306F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Sundström et al. (2024)</w:t>
            </w:r>
          </w:p>
        </w:tc>
        <w:tc>
          <w:tcPr>
            <w:tcW w:w="1991" w:type="dxa"/>
          </w:tcPr>
          <w:p w14:paraId="016200B3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Vocabulary intervention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word learning perspective. </w:t>
            </w:r>
          </w:p>
        </w:tc>
        <w:tc>
          <w:tcPr>
            <w:tcW w:w="1724" w:type="dxa"/>
            <w:gridSpan w:val="3"/>
          </w:tcPr>
          <w:p w14:paraId="27C1757F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Small-group shared book reading with the Lexicon Pirate method</w:t>
            </w:r>
          </w:p>
        </w:tc>
        <w:tc>
          <w:tcPr>
            <w:tcW w:w="1809" w:type="dxa"/>
          </w:tcPr>
          <w:p w14:paraId="43C551E5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Oral language</w:t>
            </w:r>
          </w:p>
        </w:tc>
        <w:tc>
          <w:tcPr>
            <w:tcW w:w="2086" w:type="dxa"/>
            <w:gridSpan w:val="2"/>
          </w:tcPr>
          <w:p w14:paraId="03E38B7C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Oral language / literacy intervention approaches </w:t>
            </w:r>
          </w:p>
          <w:p w14:paraId="4B6AC234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147486" w:rsidRPr="0017359C" w14:paraId="03059B5B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476BC4D9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Uhl,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Steinlen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&amp; Piske (2023)</w:t>
            </w:r>
          </w:p>
        </w:tc>
        <w:tc>
          <w:tcPr>
            <w:tcW w:w="1991" w:type="dxa"/>
          </w:tcPr>
          <w:p w14:paraId="0C6B92D3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Instructed Second Language Acquisition (ISLA) and Processability Theory (PT) </w:t>
            </w:r>
          </w:p>
        </w:tc>
        <w:tc>
          <w:tcPr>
            <w:tcW w:w="1724" w:type="dxa"/>
            <w:gridSpan w:val="3"/>
          </w:tcPr>
          <w:p w14:paraId="15EC61E7" w14:textId="77777777" w:rsidR="00147486" w:rsidRPr="0017359C" w:rsidRDefault="00147486" w:rsidP="00A00DA3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CLIL (Content and Language Integrated Learning)</w:t>
            </w:r>
          </w:p>
        </w:tc>
        <w:tc>
          <w:tcPr>
            <w:tcW w:w="1809" w:type="dxa"/>
          </w:tcPr>
          <w:p w14:paraId="287485B4" w14:textId="77777777" w:rsidR="00147486" w:rsidRPr="0017359C" w:rsidRDefault="00147486" w:rsidP="00A00DA3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Oral language </w:t>
            </w:r>
          </w:p>
        </w:tc>
        <w:tc>
          <w:tcPr>
            <w:tcW w:w="2086" w:type="dxa"/>
            <w:gridSpan w:val="2"/>
          </w:tcPr>
          <w:p w14:paraId="193A195E" w14:textId="77777777" w:rsidR="00147486" w:rsidRPr="0017359C" w:rsidRDefault="00147486" w:rsidP="00C8282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Bilingual education / CLIL / exposure-based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approaches</w:t>
            </w:r>
          </w:p>
          <w:p w14:paraId="64EBEFDB" w14:textId="77777777" w:rsidR="00147486" w:rsidRPr="0017359C" w:rsidRDefault="00147486" w:rsidP="00C8282B">
            <w:pPr>
              <w:rPr>
                <w:rFonts w:ascii="Arial" w:hAnsi="Arial" w:cs="Arial"/>
                <w:vanish/>
                <w:color w:val="000000" w:themeColor="text1"/>
                <w:sz w:val="16"/>
                <w:szCs w:val="16"/>
                <w:lang w:val="en-US"/>
              </w:rPr>
            </w:pPr>
          </w:p>
          <w:p w14:paraId="4A5D940D" w14:textId="77777777" w:rsidR="00147486" w:rsidRPr="0017359C" w:rsidRDefault="00147486" w:rsidP="00C8282B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147486" w:rsidRPr="0017359C" w14:paraId="6FF30093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0925A35D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Verhagen et al. (2024)</w:t>
            </w:r>
          </w:p>
        </w:tc>
        <w:tc>
          <w:tcPr>
            <w:tcW w:w="1991" w:type="dxa"/>
          </w:tcPr>
          <w:p w14:paraId="03F8EE33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Exposure-based bilingual development; bilingual ECEC; dual-language development </w:t>
            </w:r>
          </w:p>
        </w:tc>
        <w:tc>
          <w:tcPr>
            <w:tcW w:w="1724" w:type="dxa"/>
            <w:gridSpan w:val="3"/>
          </w:tcPr>
          <w:p w14:paraId="7FD6C29A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Bilingual Early Childhood Education and Care (ECEC) models</w:t>
            </w:r>
          </w:p>
        </w:tc>
        <w:tc>
          <w:tcPr>
            <w:tcW w:w="1809" w:type="dxa"/>
          </w:tcPr>
          <w:p w14:paraId="6CF485B5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Oral language</w:t>
            </w:r>
          </w:p>
        </w:tc>
        <w:tc>
          <w:tcPr>
            <w:tcW w:w="2086" w:type="dxa"/>
            <w:gridSpan w:val="2"/>
          </w:tcPr>
          <w:p w14:paraId="7BBA5C1F" w14:textId="77777777" w:rsidR="00147486" w:rsidRPr="0017359C" w:rsidRDefault="00147486" w:rsidP="00C8282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Bilingual education / CLIL / exposure-based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approaches</w:t>
            </w:r>
          </w:p>
          <w:p w14:paraId="376D1CB4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47486" w:rsidRPr="0017359C" w14:paraId="0183F322" w14:textId="77777777" w:rsidTr="008D0CCB">
        <w:trPr>
          <w:gridAfter w:val="1"/>
          <w:wAfter w:w="51" w:type="dxa"/>
        </w:trPr>
        <w:tc>
          <w:tcPr>
            <w:tcW w:w="1406" w:type="dxa"/>
          </w:tcPr>
          <w:p w14:paraId="586A09C7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Voltmer et al. (2021)</w:t>
            </w:r>
          </w:p>
        </w:tc>
        <w:tc>
          <w:tcPr>
            <w:tcW w:w="1991" w:type="dxa"/>
          </w:tcPr>
          <w:p w14:paraId="7705F33A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Language support strategies (LSS)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3A50F367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Vygotskian social interactionism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neuropsychological preparedness and neural plasticity</w:t>
            </w:r>
          </w:p>
        </w:tc>
        <w:tc>
          <w:tcPr>
            <w:tcW w:w="1724" w:type="dxa"/>
            <w:gridSpan w:val="3"/>
          </w:tcPr>
          <w:p w14:paraId="4E968FA8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FTT (Feeling, Thinking and Talking)</w:t>
            </w:r>
          </w:p>
        </w:tc>
        <w:tc>
          <w:tcPr>
            <w:tcW w:w="1809" w:type="dxa"/>
          </w:tcPr>
          <w:p w14:paraId="011206B0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Oral language </w:t>
            </w:r>
          </w:p>
        </w:tc>
        <w:tc>
          <w:tcPr>
            <w:tcW w:w="2086" w:type="dxa"/>
            <w:gridSpan w:val="2"/>
          </w:tcPr>
          <w:p w14:paraId="2B973B92" w14:textId="77777777" w:rsidR="00147486" w:rsidRPr="0017359C" w:rsidRDefault="00147486" w:rsidP="00C8282B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Oral-language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/ literacy intervention approaches</w:t>
            </w:r>
          </w:p>
          <w:p w14:paraId="63D51B44" w14:textId="77777777" w:rsidR="00147486" w:rsidRPr="0017359C" w:rsidRDefault="00147486" w:rsidP="00C8282B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147486" w:rsidRPr="0017359C" w14:paraId="76EF05EF" w14:textId="77777777" w:rsidTr="008D0CCB">
        <w:trPr>
          <w:gridAfter w:val="1"/>
          <w:wAfter w:w="51" w:type="dxa"/>
        </w:trPr>
        <w:tc>
          <w:tcPr>
            <w:tcW w:w="1406" w:type="dxa"/>
            <w:tcBorders>
              <w:bottom w:val="single" w:sz="4" w:space="0" w:color="auto"/>
            </w:tcBorders>
          </w:tcPr>
          <w:p w14:paraId="3E131F0B" w14:textId="77777777" w:rsidR="00147486" w:rsidRPr="0017359C" w:rsidRDefault="00147486" w:rsidP="00A00D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Žefran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Bratož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&amp; Rutar (2025)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14:paraId="7E9AAB9B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Pluralistic approaches to language learning (FREPA) </w:t>
            </w:r>
          </w:p>
        </w:tc>
        <w:tc>
          <w:tcPr>
            <w:tcW w:w="1724" w:type="dxa"/>
            <w:gridSpan w:val="3"/>
            <w:tcBorders>
              <w:bottom w:val="single" w:sz="4" w:space="0" w:color="auto"/>
            </w:tcBorders>
          </w:tcPr>
          <w:p w14:paraId="0EB650F9" w14:textId="77777777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Multilingual Kindergarten Model (Mu-Ki Koper / DivCo)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034D1715" w14:textId="4D2B51B3" w:rsidR="00147486" w:rsidRPr="0017359C" w:rsidRDefault="00147486" w:rsidP="00A00DA3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8282B">
              <w:rPr>
                <w:rFonts w:ascii="Arial" w:hAnsi="Arial" w:cs="Arial"/>
                <w:sz w:val="14"/>
                <w:szCs w:val="14"/>
                <w:lang w:val="en-GB"/>
              </w:rPr>
              <w:t>Metalinguistic/ plurilingual awareness</w:t>
            </w:r>
            <w:r w:rsidRPr="00C8282B">
              <w:rPr>
                <w:rFonts w:ascii="Arial" w:hAnsi="Arial" w:cs="Arial"/>
                <w:sz w:val="14"/>
                <w:szCs w:val="14"/>
              </w:rPr>
              <w:t>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C8282B" w:rsidRPr="00C8282B">
              <w:rPr>
                <w:rFonts w:ascii="Arial" w:hAnsi="Arial" w:cs="Arial"/>
                <w:sz w:val="14"/>
                <w:szCs w:val="14"/>
                <w:lang w:val="en-US"/>
              </w:rPr>
              <w:t>i</w:t>
            </w:r>
            <w:r w:rsidRPr="00C8282B">
              <w:rPr>
                <w:rFonts w:ascii="Arial" w:hAnsi="Arial" w:cs="Arial"/>
                <w:sz w:val="14"/>
                <w:szCs w:val="14"/>
                <w:lang w:val="en-GB"/>
              </w:rPr>
              <w:t>ntercultural</w:t>
            </w:r>
            <w:proofErr w:type="spellEnd"/>
            <w:r w:rsidRPr="00C8282B">
              <w:rPr>
                <w:rFonts w:ascii="Arial" w:hAnsi="Arial" w:cs="Arial"/>
                <w:sz w:val="14"/>
                <w:szCs w:val="14"/>
                <w:lang w:val="en-GB"/>
              </w:rPr>
              <w:t xml:space="preserve"> awareness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2086" w:type="dxa"/>
            <w:gridSpan w:val="2"/>
            <w:tcBorders>
              <w:bottom w:val="single" w:sz="4" w:space="0" w:color="auto"/>
            </w:tcBorders>
          </w:tcPr>
          <w:p w14:paraId="3F7B4411" w14:textId="77777777" w:rsidR="00147486" w:rsidRPr="0017359C" w:rsidRDefault="00147486" w:rsidP="00C8282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Pluralistic / language-awareness approaches</w:t>
            </w:r>
          </w:p>
        </w:tc>
      </w:tr>
      <w:tr w:rsidR="00B1689A" w:rsidRPr="0017359C" w14:paraId="3DCDBD5E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90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1E1BB" w14:textId="49134448" w:rsidR="00B1689A" w:rsidRPr="00C8282B" w:rsidRDefault="00B1689A" w:rsidP="00C82AD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8282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lastRenderedPageBreak/>
              <w:t>Table A3</w:t>
            </w:r>
            <w:r w:rsidRPr="00C8282B">
              <w:rPr>
                <w:rFonts w:ascii="Arial" w:hAnsi="Arial" w:cs="Arial"/>
                <w:sz w:val="16"/>
                <w:szCs w:val="16"/>
                <w:lang w:val="en-US"/>
              </w:rPr>
              <w:t xml:space="preserve"> Overview of multilingual practices </w:t>
            </w:r>
          </w:p>
        </w:tc>
      </w:tr>
      <w:tr w:rsidR="00B1689A" w:rsidRPr="0017359C" w14:paraId="34354096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6917F" w14:textId="77777777" w:rsidR="00B1689A" w:rsidRPr="0017359C" w:rsidRDefault="00B1689A" w:rsidP="00D83D76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Study 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88083" w14:textId="77777777" w:rsidR="00B1689A" w:rsidRPr="0017359C" w:rsidRDefault="00B1689A" w:rsidP="00D83D76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Practice type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71774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Grouping format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B8C44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Duration / Frequency / session length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0DF59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 xml:space="preserve">Veerman’s et al. (2026) categorisation: primary/secondary </w:t>
            </w:r>
          </w:p>
        </w:tc>
      </w:tr>
      <w:tr w:rsidR="00B1689A" w:rsidRPr="0017359C" w14:paraId="4B5C497C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B79A7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Becker &amp; Knoll (2022)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770097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translanguaging interaction/activities; CLIL/bilingual programme activities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E83AF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whole class; small group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EC0D0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School year program / ongoing / not clearly specified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7EF83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Affirming / translanguaging based</w:t>
            </w:r>
          </w:p>
        </w:tc>
      </w:tr>
      <w:tr w:rsidR="00B1689A" w:rsidRPr="0017359C" w14:paraId="039288D2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2E7BEC2B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Engel de Abreu et al. (2025)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00A75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vocabulary intervention; language comparison activities; multimodal/multisensory activities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E065D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small group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69871226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30-week program / 4 times per week / 20-30 min.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01903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Scaffolding / affirming </w:t>
            </w:r>
          </w:p>
          <w:p w14:paraId="335C86CB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7FABF993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B1689A" w:rsidRPr="0017359C" w14:paraId="7D1A4C09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2797A30D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Geiger-Jaillet &amp; Schlemminger (2023)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6FD7D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storytelling/narrative work; translanguaging interaction/activities; play/game-based tasks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7A776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small group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22F027DF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Not clearly specified / recurring activity / not clearly specified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64CDB" w14:textId="77777777" w:rsidR="00B1689A" w:rsidRPr="0017359C" w:rsidRDefault="00B1689A" w:rsidP="00D83D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translanguaging based / -</w:t>
            </w:r>
          </w:p>
          <w:p w14:paraId="282F6C44" w14:textId="77777777" w:rsidR="00B1689A" w:rsidRPr="0017359C" w:rsidRDefault="00B1689A" w:rsidP="00D83D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</w:p>
          <w:p w14:paraId="3E59262C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B1689A" w:rsidRPr="0017359C" w14:paraId="6C013499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74E3DE3E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Gkaintartzi &amp; Katsara (2024)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1DCCB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language comparison activities; songs/rhymes/chants; play/game-based tasks; multimodal/multisensory activities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043B7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whole class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2502B9DE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4-week program / repeated daily / 30 min. 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1532F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Cross-linguistic / affirming </w:t>
            </w:r>
          </w:p>
        </w:tc>
      </w:tr>
      <w:tr w:rsidR="00B1689A" w:rsidRPr="0017359C" w14:paraId="755A38CF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054BBB9C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Incognito et al. (2021)</w:t>
            </w:r>
          </w:p>
          <w:p w14:paraId="4569040C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D18EC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phonics/literacy instruction; play/game-based tasks; storytelling/narrative work; multimodal/multisensory activities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20A66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whole class; small group; individual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395BDC7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12-week or 30-week program / weeklh / 1.5 h. 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E4326" w14:textId="77777777" w:rsidR="00B1689A" w:rsidRPr="0017359C" w:rsidRDefault="00B1689A" w:rsidP="00D83D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Scaffolding / - </w:t>
            </w:r>
          </w:p>
          <w:p w14:paraId="6C82EA0F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B1689A" w:rsidRPr="0017359C" w14:paraId="7DE68753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214244AD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Kirsch &amp; Bergeron-Morin (2023)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174D9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shared reading; storytelling/narrative work; translanguaging interaction/activities; parent-supported/joint literacy activity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C4DB1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whole class; small group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33D8D97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Not clearly specified / not clearly specified / not clearly specified 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DB14B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Affirming / translanguaging-based </w:t>
            </w:r>
          </w:p>
          <w:p w14:paraId="3A37897A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FA1D147" w14:textId="77777777" w:rsidR="00B1689A" w:rsidRPr="0017359C" w:rsidRDefault="00B1689A" w:rsidP="00D83D76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B1689A" w:rsidRPr="0017359C" w14:paraId="69532683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0FE28925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Laursen &amp; Daugaard (2025)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40C03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storytelling/narrative work; language comparison activities; multimodal/multisensory activities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D9214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small group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319CB94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One session / once / 45 min. 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3C898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Cross-linguistic / affirming </w:t>
            </w:r>
          </w:p>
        </w:tc>
      </w:tr>
      <w:tr w:rsidR="00B1689A" w:rsidRPr="0017359C" w14:paraId="4F962E77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35F971BE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Lilja et al. (2025)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D4D0E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shared reading; storytelling/narrative work; narrative intervention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D1F36A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small group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17427D6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12-week program / 3 times per week / 15-20 min. 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9202D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Scaffolding / -</w:t>
            </w:r>
          </w:p>
          <w:p w14:paraId="64C4133F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1233ADE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B1689A" w:rsidRPr="0017359C" w14:paraId="4AA41048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4F816093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Lundberg et al. (2023)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2BCF9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translanguaging interaction/activities; arts/movement/drama; play/game-based tasks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86091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whole class; small group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A9D78C9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Not clearly specified / ongoing / not clearly specified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F9640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Translanguaging based / affirming</w:t>
            </w:r>
          </w:p>
        </w:tc>
      </w:tr>
      <w:tr w:rsidR="00B1689A" w:rsidRPr="0017359C" w14:paraId="41A03254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13117DBD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Rendón-Romero, Navarro-Pablo &amp; García-Jiménez (2021)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17E80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phonics/literacy instruction; songs/rhymes/chants; play/game-based tasks; multimodal/multisensory activities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EA8E0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whole class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41171F1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7-month program / 3 times per week / 45 min. 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CF8D9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Scaffolding / cross-linguistic </w:t>
            </w:r>
          </w:p>
          <w:p w14:paraId="2FF395EB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ECB203B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B1689A" w:rsidRPr="0017359C" w14:paraId="75E178E7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39B79184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Sundström et al. (2024)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635FD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shared reading; dialogic reading; vocabulary intervention; play/game-based tasks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21E39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small group 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F2E5F73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6-week program / 2 times per week / 20-30 min. 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0AA74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Scaffolding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/ -</w:t>
            </w:r>
          </w:p>
          <w:p w14:paraId="4767D84A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B1689A" w:rsidRPr="0017359C" w14:paraId="537719D8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65E836F1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Uhl, Steinlen &amp; Piske (2023)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0B3AA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CLIL-type thematic activities; CLIL/bilingual programme activities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93AC2" w14:textId="77777777" w:rsidR="00B1689A" w:rsidRPr="0017359C" w:rsidRDefault="00B1689A" w:rsidP="00D83D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whole class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E5FC838" w14:textId="77777777" w:rsidR="00B1689A" w:rsidRPr="0017359C" w:rsidRDefault="00B1689A" w:rsidP="00D83D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School year program / 4 to 6 times per week / 45 min. per  session  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0D879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Scaffolding / -</w:t>
            </w:r>
          </w:p>
          <w:p w14:paraId="0ECD796B" w14:textId="77777777" w:rsidR="00B1689A" w:rsidRPr="0017359C" w:rsidRDefault="00B1689A" w:rsidP="00D83D76">
            <w:pPr>
              <w:jc w:val="both"/>
              <w:rPr>
                <w:rFonts w:ascii="Arial" w:hAnsi="Arial" w:cs="Arial"/>
                <w:vanish/>
                <w:color w:val="000000" w:themeColor="text1"/>
                <w:sz w:val="16"/>
                <w:szCs w:val="16"/>
                <w:lang w:val="en-US"/>
              </w:rPr>
            </w:pPr>
          </w:p>
          <w:p w14:paraId="7BB7C114" w14:textId="77777777" w:rsidR="00B1689A" w:rsidRPr="0017359C" w:rsidRDefault="00B1689A" w:rsidP="00D83D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1689A" w:rsidRPr="0017359C" w14:paraId="04FD80F9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1B275DCB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Verhagen et al. (2024)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04EB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CLIL/bilingual programme activities; centre-based routine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792D9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whole class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40962C0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Ongoing model (longitudinal study) / ongoing/ exposure-based not clearly specified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E4A60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Scaffolding / -</w:t>
            </w:r>
          </w:p>
          <w:p w14:paraId="30180A8F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2559E6F1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1689A" w:rsidRPr="0017359C" w14:paraId="6B957059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0C4986A2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Voltmer et al. (2021)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EB4D6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dialogic reading; shared reading; teacher-mediated language support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C7A97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whole class; small group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6B67CEA4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Not clearly specified / embedded in daily routines / not clearly specified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F56FA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Scaffolding / -</w:t>
            </w:r>
          </w:p>
          <w:p w14:paraId="32686FCA" w14:textId="77777777" w:rsidR="00B1689A" w:rsidRPr="0017359C" w:rsidRDefault="00B1689A" w:rsidP="00D83D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1689A" w:rsidRPr="0017359C" w14:paraId="663B017B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</w:trPr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3E99C" w14:textId="77777777" w:rsidR="00B1689A" w:rsidRPr="0017359C" w:rsidRDefault="00B1689A" w:rsidP="00D83D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Žefran, Bratož &amp; Rutar (2025)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35DA6" w14:textId="77777777" w:rsidR="00B1689A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songs/rhymes/chants; storytelling/narrative work; arts/movement/drama; multimodal/multisensory activities; language comparison activities</w:t>
            </w:r>
          </w:p>
          <w:p w14:paraId="29527290" w14:textId="77777777" w:rsidR="00A456D7" w:rsidRDefault="00A456D7" w:rsidP="00D83D7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425F970" w14:textId="77777777" w:rsidR="00A456D7" w:rsidRPr="00A456D7" w:rsidRDefault="00A456D7" w:rsidP="00D83D7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F0984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whole class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CDFE7" w14:textId="77777777" w:rsidR="00B1689A" w:rsidRPr="0017359C" w:rsidRDefault="00B1689A" w:rsidP="00D83D76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10-month program / 2-3 times per week / 1-2h. 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65751" w14:textId="77777777" w:rsidR="00B1689A" w:rsidRPr="0017359C" w:rsidRDefault="00B1689A" w:rsidP="00D83D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Affirming / cross-linguistic</w:t>
            </w:r>
          </w:p>
          <w:p w14:paraId="5F709351" w14:textId="77777777" w:rsidR="00B1689A" w:rsidRPr="0017359C" w:rsidRDefault="00B1689A" w:rsidP="00D83D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</w:p>
          <w:p w14:paraId="7CD082E8" w14:textId="77777777" w:rsidR="00B1689A" w:rsidRPr="0017359C" w:rsidRDefault="00B1689A" w:rsidP="00D83D7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1B3F31" w:rsidRPr="008D0CCB" w14:paraId="56368958" w14:textId="77777777" w:rsidTr="00921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2D13A" w14:textId="77777777" w:rsidR="00C8282B" w:rsidRDefault="00C8282B" w:rsidP="008D0CCB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544AD768" w14:textId="592F4996" w:rsidR="001B3F31" w:rsidRPr="00C8282B" w:rsidRDefault="00A456D7" w:rsidP="008D0CCB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</w:t>
            </w:r>
            <w:r w:rsidR="00D83D76" w:rsidRPr="00C8282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</w:t>
            </w:r>
            <w:r w:rsidR="001B3F31" w:rsidRPr="00C8282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ble A4</w:t>
            </w:r>
            <w:r w:rsidR="001B3F31" w:rsidRPr="00C8282B">
              <w:rPr>
                <w:rFonts w:ascii="Arial" w:hAnsi="Arial" w:cs="Arial"/>
                <w:sz w:val="16"/>
                <w:szCs w:val="16"/>
                <w:lang w:val="en-US"/>
              </w:rPr>
              <w:t xml:space="preserve"> Overview of benefits, challenges, and reporting level of practices</w:t>
            </w:r>
          </w:p>
        </w:tc>
      </w:tr>
      <w:tr w:rsidR="001B3F31" w:rsidRPr="0017359C" w14:paraId="03F17CAB" w14:textId="77777777" w:rsidTr="00921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FE9A3" w14:textId="77777777" w:rsidR="001B3F31" w:rsidRPr="0017359C" w:rsidRDefault="001B3F31" w:rsidP="008D0CCB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Study 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2BE92" w14:textId="77777777" w:rsidR="001B3F31" w:rsidRPr="0017359C" w:rsidRDefault="001B3F31" w:rsidP="008D0CCB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Benefits 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5D543" w14:textId="77777777" w:rsidR="001B3F31" w:rsidRPr="0017359C" w:rsidRDefault="001B3F31" w:rsidP="008D0CCB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Challenges 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32650" w14:textId="77777777" w:rsidR="001B3F31" w:rsidRPr="0017359C" w:rsidRDefault="001B3F31" w:rsidP="008D0CCB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Reporting level </w:t>
            </w:r>
          </w:p>
        </w:tc>
      </w:tr>
      <w:tr w:rsidR="001B3F31" w:rsidRPr="0017359C" w14:paraId="56AAEA1A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86909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Becker &amp; Knoll (2022)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271F6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  <w:lang w:val="en-GB"/>
              </w:rPr>
              <w:t>Awareness / attitudinal gain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: broader use of English – German  repertoires in interaction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AAF3B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Monolingual ideology / limited home-language inclusion: heritage languages largely excluded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11B23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classroom / pedagogical practice</w:t>
            </w:r>
          </w:p>
        </w:tc>
      </w:tr>
      <w:tr w:rsidR="001B3F31" w:rsidRPr="0017359C" w14:paraId="17FFE854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75E3BFDC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Engel de Abreu et al. (2025)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441A6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124F1A" w:themeColor="accent3" w:themeShade="BF"/>
                <w:sz w:val="16"/>
                <w:szCs w:val="16"/>
                <w:lang w:val="en-GB"/>
              </w:rPr>
              <w:t>Additive  bilingualism / cross-linguistic transfer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: Portuguese  gains (vocabulary, narrative skills, phonemic awareness, letter-sound knowledge) with some Luxembourgish transfer, no negative effects on German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975857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Limited or uneven effects: no significant gains in German outcomes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4F60C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pupil outcomes</w:t>
            </w:r>
          </w:p>
        </w:tc>
      </w:tr>
      <w:tr w:rsidR="001B3F31" w:rsidRPr="0017359C" w14:paraId="31861306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4F809A4F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Geiger-Jaillet &amp; Schlemminger (2023)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ACA098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7206D" w:themeColor="accent5" w:themeShade="BF"/>
                <w:sz w:val="16"/>
                <w:szCs w:val="16"/>
                <w:lang w:val="en-GB"/>
              </w:rPr>
              <w:t>Engagement / inclusion gains:</w:t>
            </w:r>
            <w:r>
              <w:rPr>
                <w:rFonts w:ascii="Arial" w:hAnsi="Arial" w:cs="Arial"/>
                <w:color w:val="77206D" w:themeColor="accent5" w:themeShade="BF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translanguaging supported meaning (German often functioned as a bridge toward Alsatian), making and participation (teachers privileged content and comprehensibility to sustain participation)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99D2A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Implementation / interaction constraint: peer L2 / L3 use stayed limited and teacher – mediated 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F4C13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classroom interaction / pedagogy </w:t>
            </w:r>
          </w:p>
        </w:tc>
      </w:tr>
      <w:tr w:rsidR="001B3F31" w:rsidRPr="0017359C" w14:paraId="2E883D67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7F94A7C4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Gkaintartzi &amp; Katsara (2024)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50996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  <w:lang w:val="en-GB"/>
              </w:rPr>
              <w:t>Awareness / attitudinal gains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: greater language awareness, curiosity, openness to diversity, greater confidence to future language learning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7D6AE0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Structural / contextual constraint: unfamiliar scripts and broader invisibility of multilingualism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9F3BC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pupil outcomes + contextual / pedagogical</w:t>
            </w:r>
          </w:p>
        </w:tc>
      </w:tr>
      <w:tr w:rsidR="001B3F31" w:rsidRPr="0017359C" w14:paraId="75F8603A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3BA8648C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Incognito et al. (2021)</w:t>
            </w:r>
          </w:p>
          <w:p w14:paraId="46261751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594AB4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BF4E14" w:themeColor="accent2" w:themeShade="BF"/>
                <w:sz w:val="16"/>
                <w:szCs w:val="16"/>
                <w:lang w:val="en-GB"/>
              </w:rPr>
              <w:t>Language / literacy gains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: stronger notational knowledge, with gap reduction after longer intervention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93B1C9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Limited or uneven effects: gains centered on notation, not phonological competence 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8300D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pupil outcomes </w:t>
            </w:r>
          </w:p>
        </w:tc>
      </w:tr>
      <w:tr w:rsidR="001B3F31" w:rsidRPr="0017359C" w14:paraId="2ED8C445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54908B6D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Kirsch &amp; Bergeron-Morin (2023)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1C644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7206D" w:themeColor="accent5" w:themeShade="BF"/>
                <w:sz w:val="16"/>
                <w:szCs w:val="16"/>
                <w:lang w:val="en-GB"/>
              </w:rPr>
              <w:t>Engagement / inclusion gains:</w:t>
            </w:r>
            <w:r>
              <w:rPr>
                <w:rFonts w:ascii="Arial" w:hAnsi="Arial" w:cs="Arial"/>
                <w:color w:val="77206D" w:themeColor="accent5" w:themeShade="BF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multilingual literacy with some parents as valued partners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FE73C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Implementation / feasibility difficulty: parent involvement varied and was hard to sustain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6BC0A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pupil outcomes + parent/family + centre</w:t>
            </w:r>
          </w:p>
        </w:tc>
      </w:tr>
      <w:tr w:rsidR="001B3F31" w:rsidRPr="0017359C" w14:paraId="42E04C71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4CEE4F7A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Laursen &amp; Daugaard (2025)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6BCEF0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  <w:lang w:val="en-GB"/>
              </w:rPr>
              <w:t>Awareness / attitudinal gains:</w:t>
            </w:r>
            <w:r>
              <w:rPr>
                <w:rFonts w:ascii="Arial" w:hAnsi="Arial" w:cs="Arial"/>
                <w:color w:val="215E99" w:themeColor="text2" w:themeTint="BF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strong print engagement and rich metalanguaging around scripts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EC24D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Mixed or minimal challenge reporting: findings foregrounded affordances more than barriers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0DA36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pupil outcomes + classroom interaction</w:t>
            </w:r>
          </w:p>
        </w:tc>
      </w:tr>
      <w:tr w:rsidR="001B3F31" w:rsidRPr="0017359C" w14:paraId="6F2F58E1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31E16A96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Lilja et al. (2025)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C2C6AC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7206D" w:themeColor="accent5" w:themeShade="BF"/>
                <w:sz w:val="16"/>
                <w:szCs w:val="16"/>
                <w:lang w:val="en-GB"/>
              </w:rPr>
              <w:t>Engagement / inclusion gains:</w:t>
            </w:r>
            <w:r>
              <w:rPr>
                <w:rFonts w:ascii="Arial" w:hAnsi="Arial" w:cs="Arial"/>
                <w:color w:val="77206D" w:themeColor="accent5" w:themeShade="BF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both approaches helped (HINT/SCAN), especially for more reluctant children (SCAN)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C8794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Implementation / feasibility difficulty: declining fidelity, rigidity, and uncertainty in multilingual use, limited translanguaging in practice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A2377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educator / implementation + pupil</w:t>
            </w:r>
          </w:p>
        </w:tc>
      </w:tr>
      <w:tr w:rsidR="001B3F31" w:rsidRPr="0017359C" w14:paraId="4DB94C8A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0671A8FA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Lundberg et al. (2023)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6C2E66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7206D" w:themeColor="accent5" w:themeShade="BF"/>
                <w:sz w:val="16"/>
                <w:szCs w:val="16"/>
                <w:lang w:val="en-GB"/>
              </w:rPr>
              <w:t>Engagement / inclusion gains:</w:t>
            </w:r>
            <w:r>
              <w:rPr>
                <w:rFonts w:ascii="Arial" w:hAnsi="Arial" w:cs="Arial"/>
                <w:color w:val="77206D" w:themeColor="accent5" w:themeShade="BF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translanguaging spaces supported agency, identity, and learning across different socioeconomic settings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CE602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Monolingual ideology / limited home-language inclusion: educators’ ongoing tension between promoting Swedish and recognising multilingualism, multilingual and monolingual norms remained intertwined in practice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0A43B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Classroom / pedagogical practice </w:t>
            </w:r>
          </w:p>
        </w:tc>
      </w:tr>
      <w:tr w:rsidR="001B3F31" w:rsidRPr="0017359C" w14:paraId="2B16B89B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58BA338E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Rendón-Romero, Navarro-Pablo &amp; García-Jiménez (2021)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58BE3A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BF4E14" w:themeColor="accent2" w:themeShade="BF"/>
                <w:sz w:val="16"/>
                <w:szCs w:val="16"/>
                <w:lang w:val="en-GB"/>
              </w:rPr>
              <w:t>Language / literacy gains:</w:t>
            </w:r>
            <w:r>
              <w:rPr>
                <w:rFonts w:ascii="Arial" w:hAnsi="Arial" w:cs="Arial"/>
                <w:color w:val="BF4E14" w:themeColor="accent2" w:themeShade="BF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phonics improved phonological awareness and early reading in both languages (English – Spanish)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6A9A3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Mixed or minimal challenge reporting: few direct practice-related challenges reported  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6A1B6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pupil outcomes</w:t>
            </w:r>
          </w:p>
        </w:tc>
      </w:tr>
      <w:tr w:rsidR="001B3F31" w:rsidRPr="0017359C" w14:paraId="1B7BA04D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21B4E4F5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Sundström et al. (2024)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04BE5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BF4E14" w:themeColor="accent2" w:themeShade="BF"/>
                <w:sz w:val="16"/>
                <w:szCs w:val="16"/>
                <w:lang w:val="en-GB"/>
              </w:rPr>
              <w:t>Language / literacy gains:</w:t>
            </w:r>
            <w:r>
              <w:rPr>
                <w:rFonts w:ascii="Arial" w:hAnsi="Arial" w:cs="Arial"/>
                <w:color w:val="BF4E14" w:themeColor="accent2" w:themeShade="BF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improved trained and untrained word knowledge, positive cross-linguistic transfer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2C4F34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Limited or uneven effects: no gains in semantic fluency or semantic relations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774E1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pupil outcomes + implementation/context </w:t>
            </w:r>
          </w:p>
        </w:tc>
      </w:tr>
      <w:tr w:rsidR="001B3F31" w:rsidRPr="0017359C" w14:paraId="43A7EF7B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70C1652A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Uhl, Steinlen &amp; Piske (2023)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52E921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BF4E14" w:themeColor="accent2" w:themeShade="BF"/>
                <w:sz w:val="16"/>
                <w:szCs w:val="16"/>
                <w:lang w:val="en-GB"/>
              </w:rPr>
              <w:t>Language / literacy gains:</w:t>
            </w:r>
            <w:r>
              <w:rPr>
                <w:rFonts w:ascii="Arial" w:hAnsi="Arial" w:cs="Arial"/>
                <w:color w:val="BF4E14" w:themeColor="accent2" w:themeShade="BF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productive L2 French grammar development, sustained attention positively associated with grammar performance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C66DFA" w14:textId="77777777" w:rsidR="001B3F31" w:rsidRPr="0017359C" w:rsidRDefault="001B3F31" w:rsidP="008D0CC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Limited or uneven effects: regular programme outperformed bilingual / CLIL at this stage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60B9A" w14:textId="77777777" w:rsidR="001B3F31" w:rsidRPr="0017359C" w:rsidRDefault="001B3F31" w:rsidP="008D0CC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pupil outcomes / programme level</w:t>
            </w:r>
          </w:p>
        </w:tc>
      </w:tr>
      <w:tr w:rsidR="001B3F31" w:rsidRPr="0017359C" w14:paraId="79B52FB7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1C9B280A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Verhagen et al. (2024)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BBFC2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124F1A" w:themeColor="accent3" w:themeShade="BF"/>
                <w:sz w:val="16"/>
                <w:szCs w:val="16"/>
                <w:lang w:val="en-GB"/>
              </w:rPr>
              <w:t>Additive bilingualism / cross-linguistic transfer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: more English exposure boosted English without negative effects on Dutch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82AD3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Mixed or minimal challenge reporting: Dutch growth showed no clear added effect from extra Dutch exposure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FC715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pupil outcomes</w:t>
            </w:r>
          </w:p>
        </w:tc>
      </w:tr>
      <w:tr w:rsidR="001B3F31" w:rsidRPr="0017359C" w14:paraId="4F2308B4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36F47D70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Voltmer et al. (2021)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CF233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BF4E14" w:themeColor="accent2" w:themeShade="BF"/>
                <w:sz w:val="16"/>
                <w:szCs w:val="16"/>
                <w:lang w:val="en-GB"/>
              </w:rPr>
              <w:t>Language / literacy gains:</w:t>
            </w:r>
            <w:r>
              <w:rPr>
                <w:rFonts w:ascii="Arial" w:hAnsi="Arial" w:cs="Arial"/>
                <w:color w:val="BF4E14" w:themeColor="accent2" w:themeShade="BF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teacher training improved sentence-level language processing 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4776D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Limited or uneven effects: some measures remained unaffected (i.e., vocabulary, short-term memory/pseudowords span), large group was demanding 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675D3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pupil outcomes + education intervention </w:t>
            </w:r>
          </w:p>
        </w:tc>
      </w:tr>
      <w:tr w:rsidR="001B3F31" w:rsidRPr="0017359C" w14:paraId="4AB084A9" w14:textId="77777777" w:rsidTr="008D0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0E11AE32" w14:textId="77777777" w:rsidR="001B3F31" w:rsidRPr="0017359C" w:rsidRDefault="001B3F31" w:rsidP="008D0CC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Žefran, Bratož &amp; Rutar (2025)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546E9B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  <w:lang w:val="en-GB"/>
              </w:rPr>
              <w:t>Awareness / attitudinal gains:</w:t>
            </w:r>
            <w:r>
              <w:rPr>
                <w:rFonts w:ascii="Arial" w:hAnsi="Arial" w:cs="Arial"/>
                <w:color w:val="215E99" w:themeColor="text2" w:themeTint="BF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positive language awareness, interest, and enthusiastic participation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42439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Structural / contextual constraint: effectiveness relied mainly on participant perceptions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E7878" w14:textId="77777777" w:rsidR="001B3F31" w:rsidRPr="0017359C" w:rsidRDefault="001B3F31" w:rsidP="008D0CC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pupil + teacher + parent outcomes / programme </w:t>
            </w:r>
          </w:p>
        </w:tc>
      </w:tr>
    </w:tbl>
    <w:p w14:paraId="5A52640A" w14:textId="77777777" w:rsidR="005349BE" w:rsidRDefault="005349BE">
      <w:pPr>
        <w:rPr>
          <w:lang w:val="en-US"/>
        </w:rPr>
      </w:pPr>
    </w:p>
    <w:p w14:paraId="2AF63B21" w14:textId="77777777" w:rsidR="005349BE" w:rsidRDefault="005349BE">
      <w:pPr>
        <w:rPr>
          <w:lang w:val="en-US"/>
        </w:rPr>
        <w:sectPr w:rsidR="005349B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5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1889"/>
        <w:gridCol w:w="1895"/>
        <w:gridCol w:w="1931"/>
        <w:gridCol w:w="1887"/>
        <w:gridCol w:w="2101"/>
        <w:gridCol w:w="1876"/>
        <w:gridCol w:w="1909"/>
      </w:tblGrid>
      <w:tr w:rsidR="005349BE" w14:paraId="1BE53EAE" w14:textId="77777777" w:rsidTr="008D0CCB">
        <w:trPr>
          <w:tblHeader/>
          <w:jc w:val="center"/>
        </w:trPr>
        <w:tc>
          <w:tcPr>
            <w:tcW w:w="15400" w:type="dxa"/>
            <w:gridSpan w:val="8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FF209" w14:textId="3F059988" w:rsidR="005349BE" w:rsidRPr="00E40193" w:rsidRDefault="005349BE" w:rsidP="008D0CCB">
            <w:pPr>
              <w:rPr>
                <w:b/>
                <w:sz w:val="16"/>
                <w:szCs w:val="16"/>
              </w:rPr>
            </w:pPr>
            <w:r w:rsidRPr="00E4019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lastRenderedPageBreak/>
              <w:t>Table A5</w:t>
            </w:r>
            <w:r w:rsidRPr="00E40193">
              <w:rPr>
                <w:rFonts w:ascii="Arial" w:hAnsi="Arial" w:cs="Arial"/>
                <w:sz w:val="16"/>
                <w:szCs w:val="16"/>
                <w:lang w:val="en-US"/>
              </w:rPr>
              <w:t xml:space="preserve"> Storytelling, narrative work, shared reading and dialogic reading as bridging practices</w:t>
            </w:r>
          </w:p>
        </w:tc>
      </w:tr>
      <w:tr w:rsidR="005349BE" w14:paraId="4C6E850A" w14:textId="77777777" w:rsidTr="008D0CCB">
        <w:trPr>
          <w:tblHeader/>
          <w:jc w:val="center"/>
        </w:trPr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456148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b/>
                <w:sz w:val="16"/>
                <w:szCs w:val="16"/>
              </w:rPr>
              <w:t>Discussion pattern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1D862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b/>
                <w:sz w:val="16"/>
                <w:szCs w:val="16"/>
              </w:rPr>
              <w:t>Studies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C6D72E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b/>
                <w:sz w:val="16"/>
                <w:szCs w:val="16"/>
              </w:rPr>
              <w:t>RQ1 broader categorisation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39E6AA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b/>
                <w:sz w:val="16"/>
                <w:szCs w:val="16"/>
              </w:rPr>
              <w:t>Practice type from RQ2</w:t>
            </w:r>
          </w:p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52D143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b/>
                <w:sz w:val="16"/>
                <w:szCs w:val="16"/>
              </w:rPr>
              <w:t>Pedagogical framing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2D872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b/>
                <w:sz w:val="16"/>
                <w:szCs w:val="16"/>
              </w:rPr>
              <w:t>Competence domain(s) from RQ1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676D7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b/>
                <w:sz w:val="16"/>
                <w:szCs w:val="16"/>
              </w:rPr>
              <w:t>Grouping format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29DF75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b/>
                <w:sz w:val="16"/>
                <w:szCs w:val="16"/>
              </w:rPr>
              <w:t>Veerman et al. primary/secondary</w:t>
            </w:r>
          </w:p>
        </w:tc>
      </w:tr>
      <w:tr w:rsidR="005349BE" w14:paraId="44753E05" w14:textId="77777777" w:rsidTr="008D0CCB">
        <w:trPr>
          <w:cantSplit/>
          <w:jc w:val="center"/>
        </w:trPr>
        <w:tc>
          <w:tcPr>
            <w:tcW w:w="1927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F29BF0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Storytelling/narrative work appears in translanguaging and plurilingual approaches.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550EB7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Geiger-Jaillet &amp; Schlemminger (2023); Laursen &amp; Daugaard (2025)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27C17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Translanguaging / plurilingual approaches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F50A0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Storytelling/narrative work; translanguaging interaction; language comparison; multimodal/multisensory activities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4F4E7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Used flexibly for multilingual meaning-making, metalinguistic awareness and participation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F3EF3F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Metalinguistic/plurilingual awareness; oral interaction; participation/identity/agency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2E3FF7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Small group</w:t>
            </w:r>
          </w:p>
        </w:tc>
        <w:tc>
          <w:tcPr>
            <w:tcW w:w="1926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58DF24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Translanguaging-based / -; Cross-linguistic / affirming</w:t>
            </w:r>
          </w:p>
        </w:tc>
      </w:tr>
      <w:tr w:rsidR="005349BE" w14:paraId="10D75B13" w14:textId="77777777" w:rsidTr="008D0CCB">
        <w:trPr>
          <w:cantSplit/>
          <w:jc w:val="center"/>
        </w:trPr>
        <w:tc>
          <w:tcPr>
            <w:tcW w:w="192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D92CC4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Shared reading and narrative work appear in oral-language/literacy intervention approaches.</w:t>
            </w:r>
          </w:p>
        </w:tc>
        <w:tc>
          <w:tcPr>
            <w:tcW w:w="19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74B13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  <w:lang w:val="nl-NL"/>
              </w:rPr>
              <w:t xml:space="preserve">Lilja et al. (2025); Sundström et al. </w:t>
            </w:r>
            <w:r w:rsidRPr="00714BDC">
              <w:rPr>
                <w:sz w:val="16"/>
                <w:szCs w:val="16"/>
              </w:rPr>
              <w:t>(2024); Voltmer et al. (2021)</w:t>
            </w:r>
          </w:p>
        </w:tc>
        <w:tc>
          <w:tcPr>
            <w:tcW w:w="19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27D2A5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Oral language / literacy intervention approaches</w:t>
            </w:r>
          </w:p>
        </w:tc>
        <w:tc>
          <w:tcPr>
            <w:tcW w:w="193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C8ED5E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Shared reading; dialogic reading; storytelling/narrative work; narrative intervention; teacher-mediated language support</w:t>
            </w:r>
          </w:p>
        </w:tc>
        <w:tc>
          <w:tcPr>
            <w:tcW w:w="191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46F881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Used in a more structured way to support vocabulary, narrative competence, sentence-level language and oral-language development</w:t>
            </w:r>
          </w:p>
        </w:tc>
        <w:tc>
          <w:tcPr>
            <w:tcW w:w="193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B84009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Oral language; literacy/emergent literacy</w:t>
            </w:r>
          </w:p>
        </w:tc>
        <w:tc>
          <w:tcPr>
            <w:tcW w:w="191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7D6492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Mostly small group; whole class/small group in Voltmer et al.</w:t>
            </w:r>
          </w:p>
        </w:tc>
        <w:tc>
          <w:tcPr>
            <w:tcW w:w="19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823EE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Scaffolding / -</w:t>
            </w:r>
          </w:p>
        </w:tc>
      </w:tr>
      <w:tr w:rsidR="005349BE" w14:paraId="4185AAEC" w14:textId="77777777" w:rsidTr="008D0CCB">
        <w:trPr>
          <w:cantSplit/>
          <w:jc w:val="center"/>
        </w:trPr>
        <w:tc>
          <w:tcPr>
            <w:tcW w:w="192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CD93D0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Storytelling also appears in structured emergent-literacy intervention.</w:t>
            </w:r>
          </w:p>
        </w:tc>
        <w:tc>
          <w:tcPr>
            <w:tcW w:w="19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C56F9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Incognito et al. (2021)</w:t>
            </w:r>
          </w:p>
        </w:tc>
        <w:tc>
          <w:tcPr>
            <w:tcW w:w="19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16214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Literacy / emergent-literacy approaches</w:t>
            </w:r>
          </w:p>
        </w:tc>
        <w:tc>
          <w:tcPr>
            <w:tcW w:w="193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6C6804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Storytelling/narrative work; phonics/literacy instruction; play/game-based tasks; multimodal activities</w:t>
            </w:r>
          </w:p>
        </w:tc>
        <w:tc>
          <w:tcPr>
            <w:tcW w:w="191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F379F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Embedded in literacy instruction to support notational and emergent-literacy development</w:t>
            </w:r>
          </w:p>
        </w:tc>
        <w:tc>
          <w:tcPr>
            <w:tcW w:w="193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5A441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Literacy/emergent literacy</w:t>
            </w:r>
          </w:p>
        </w:tc>
        <w:tc>
          <w:tcPr>
            <w:tcW w:w="191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B351D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Whole class; small group; individual</w:t>
            </w:r>
          </w:p>
        </w:tc>
        <w:tc>
          <w:tcPr>
            <w:tcW w:w="19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11A221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Scaffolding / -</w:t>
            </w:r>
          </w:p>
        </w:tc>
      </w:tr>
      <w:tr w:rsidR="005349BE" w14:paraId="2E9DC748" w14:textId="77777777" w:rsidTr="008D0CCB">
        <w:trPr>
          <w:cantSplit/>
          <w:jc w:val="center"/>
        </w:trPr>
        <w:tc>
          <w:tcPr>
            <w:tcW w:w="192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AFEE5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Shared reading connects literacy, multilingual inclusion and family participation.</w:t>
            </w:r>
          </w:p>
        </w:tc>
        <w:tc>
          <w:tcPr>
            <w:tcW w:w="19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1164E5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Kirsch &amp; Bergeron-Morin (2023)</w:t>
            </w:r>
          </w:p>
        </w:tc>
        <w:tc>
          <w:tcPr>
            <w:tcW w:w="19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86688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Home-ECEC collaboration approaches</w:t>
            </w:r>
          </w:p>
        </w:tc>
        <w:tc>
          <w:tcPr>
            <w:tcW w:w="193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6231DF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Shared reading; storytelling/narrative work; translanguaging interaction; parent-supported/joint literacy activity</w:t>
            </w:r>
          </w:p>
        </w:tc>
        <w:tc>
          <w:tcPr>
            <w:tcW w:w="191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FEFE8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Used as inclusive and participatory literacy practice involving educators, parents, children and home languages</w:t>
            </w:r>
          </w:p>
        </w:tc>
        <w:tc>
          <w:tcPr>
            <w:tcW w:w="193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438473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Literacy/emergent literacy; oral language; participation/inclusion</w:t>
            </w:r>
          </w:p>
        </w:tc>
        <w:tc>
          <w:tcPr>
            <w:tcW w:w="191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3D22A4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Whole class; small group</w:t>
            </w:r>
          </w:p>
        </w:tc>
        <w:tc>
          <w:tcPr>
            <w:tcW w:w="19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66D8F4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Affirming / translanguaging-based</w:t>
            </w:r>
          </w:p>
        </w:tc>
      </w:tr>
      <w:tr w:rsidR="005349BE" w14:paraId="3A98C8C0" w14:textId="77777777" w:rsidTr="008D0CCB">
        <w:trPr>
          <w:cantSplit/>
          <w:jc w:val="center"/>
        </w:trPr>
        <w:tc>
          <w:tcPr>
            <w:tcW w:w="1927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2E94C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Storytelling also appears in pluralistic/language-awareness pedagogy.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ED0824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Žefran, Bratož &amp; Rutar (2025)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E068C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Pluralistic / language-awareness approaches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2E0EEA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Storytelling/narrative work; songs/rhymes/chants; arts/movement/drama; multimodal activities; language comparison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FF009F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Used to foster curiosity, multilingual awareness, intercultural openness and positive attitudes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C7B6E5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Metalinguistic/plurilingual awareness; intercultural awareness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C02E95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Whole class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C7D73C" w14:textId="77777777" w:rsidR="005349BE" w:rsidRPr="00714BDC" w:rsidRDefault="005349BE" w:rsidP="00714BDC">
            <w:pPr>
              <w:rPr>
                <w:sz w:val="16"/>
                <w:szCs w:val="16"/>
              </w:rPr>
            </w:pPr>
            <w:r w:rsidRPr="00714BDC">
              <w:rPr>
                <w:sz w:val="16"/>
                <w:szCs w:val="16"/>
              </w:rPr>
              <w:t>Affirming / cross-linguistic</w:t>
            </w:r>
          </w:p>
        </w:tc>
      </w:tr>
    </w:tbl>
    <w:p w14:paraId="6A85D2D6" w14:textId="4352FF2A" w:rsidR="000B4A43" w:rsidRDefault="000B4A43">
      <w:pPr>
        <w:rPr>
          <w:lang w:val="en-US"/>
        </w:rPr>
      </w:pPr>
    </w:p>
    <w:p w14:paraId="6213D8F4" w14:textId="77777777" w:rsidR="000B4A43" w:rsidRDefault="000B4A43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15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2197"/>
        <w:gridCol w:w="2210"/>
        <w:gridCol w:w="2208"/>
        <w:gridCol w:w="2195"/>
        <w:gridCol w:w="2193"/>
        <w:gridCol w:w="2202"/>
      </w:tblGrid>
      <w:tr w:rsidR="000B4A43" w:rsidRPr="00B50429" w14:paraId="51F09FFA" w14:textId="77777777" w:rsidTr="00B50429">
        <w:trPr>
          <w:tblHeader/>
          <w:jc w:val="center"/>
        </w:trPr>
        <w:tc>
          <w:tcPr>
            <w:tcW w:w="15400" w:type="dxa"/>
            <w:gridSpan w:val="7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CA7DD" w14:textId="7D18E225" w:rsidR="000B4A43" w:rsidRPr="00B50429" w:rsidRDefault="000B4A43" w:rsidP="00C82AD7">
            <w:pPr>
              <w:rPr>
                <w:b/>
                <w:sz w:val="16"/>
                <w:szCs w:val="16"/>
                <w:lang w:val="en-US"/>
              </w:rPr>
            </w:pPr>
            <w:r w:rsidRPr="00B50429">
              <w:rPr>
                <w:b/>
                <w:sz w:val="16"/>
                <w:szCs w:val="16"/>
                <w:lang w:val="en-US"/>
              </w:rPr>
              <w:lastRenderedPageBreak/>
              <w:t xml:space="preserve">Table A6 </w:t>
            </w:r>
            <w:r w:rsidRPr="00B50429">
              <w:rPr>
                <w:bCs/>
                <w:sz w:val="16"/>
                <w:szCs w:val="16"/>
                <w:lang w:val="en-US"/>
              </w:rPr>
              <w:t>Play, games, songs, movement, drama and multimodal practices as developmentally appropriate pedagogy</w:t>
            </w:r>
          </w:p>
        </w:tc>
      </w:tr>
      <w:tr w:rsidR="000B4A43" w:rsidRPr="00B50429" w14:paraId="4EA7ACA8" w14:textId="77777777" w:rsidTr="00B50429">
        <w:trPr>
          <w:tblHeader/>
          <w:jc w:val="center"/>
        </w:trPr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6FBA8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Discussion pattern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A12EE7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Studies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9129B6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RQ1 broader categorisation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FA0421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Practice type from RQ2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D5E1A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Why this supports the discussion point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8FC570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Grouping format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64A29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Veerman et al. primary/secondary</w:t>
            </w:r>
          </w:p>
        </w:tc>
      </w:tr>
      <w:tr w:rsidR="000B4A43" w:rsidRPr="00B50429" w14:paraId="5306B489" w14:textId="77777777" w:rsidTr="00B50429">
        <w:trPr>
          <w:cantSplit/>
          <w:jc w:val="center"/>
        </w:trPr>
        <w:tc>
          <w:tcPr>
            <w:tcW w:w="219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797DA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Play and games are used to make multilingual learning age-appropriate and interactive.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95278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Geiger-Jaillet &amp; Schlemminger (2023); Gkaintartzi &amp; Katsara (2024); Incognito et al. (2021); Lundberg et al. (2023); Rendón-Romero et al. (2021); Sundström et al. (2024)</w:t>
            </w:r>
          </w:p>
        </w:tc>
        <w:tc>
          <w:tcPr>
            <w:tcW w:w="221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DC25A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Translanguaging / plurilingual; pluralistic/language-awareness; literacy/emergent-literacy; oral-language/literacy intervention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A5BACD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Play/game-based tasks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FC4EF2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Shows that multilingual practices for ages 3-7 are often embedded in playful interaction rather than formal instruction only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6D7927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 class; small group; individual depending on study</w:t>
            </w:r>
          </w:p>
        </w:tc>
        <w:tc>
          <w:tcPr>
            <w:tcW w:w="2202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CD7B79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Translanguaging-based; cross-linguistic; scaffolding</w:t>
            </w:r>
          </w:p>
        </w:tc>
      </w:tr>
      <w:tr w:rsidR="000B4A43" w:rsidRPr="00B50429" w14:paraId="39710097" w14:textId="77777777" w:rsidTr="00B50429">
        <w:trPr>
          <w:cantSplit/>
          <w:jc w:val="center"/>
        </w:trPr>
        <w:tc>
          <w:tcPr>
            <w:tcW w:w="219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48D4F8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Songs, rhymes and chants support embodied and memorable language exposure.</w:t>
            </w:r>
          </w:p>
        </w:tc>
        <w:tc>
          <w:tcPr>
            <w:tcW w:w="21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F08D5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  <w:lang w:val="it-IT"/>
              </w:rPr>
              <w:t xml:space="preserve">Gkaintartzi &amp; Katsara (2024); Rendón-Romero et al. </w:t>
            </w:r>
            <w:r w:rsidRPr="00B50429">
              <w:rPr>
                <w:sz w:val="16"/>
                <w:szCs w:val="16"/>
              </w:rPr>
              <w:t>(2021); Žefran et al. (2025)</w:t>
            </w:r>
          </w:p>
        </w:tc>
        <w:tc>
          <w:tcPr>
            <w:tcW w:w="221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2ABF2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Pluralistic/language-awareness; literacy/emergent-literacy</w:t>
            </w:r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B3137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Songs/rhymes/chants</w:t>
            </w:r>
          </w:p>
        </w:tc>
        <w:tc>
          <w:tcPr>
            <w:tcW w:w="219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BDDB4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Shows the use of rhythmic, oral and affective practices to support language awareness and early literacy</w:t>
            </w:r>
          </w:p>
        </w:tc>
        <w:tc>
          <w:tcPr>
            <w:tcW w:w="219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C50A3E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 class</w:t>
            </w:r>
          </w:p>
        </w:tc>
        <w:tc>
          <w:tcPr>
            <w:tcW w:w="22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26F424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Cross-linguistic / affirming; scaffolding / cross-linguistic; affirming / cross-linguistic</w:t>
            </w:r>
          </w:p>
        </w:tc>
      </w:tr>
      <w:tr w:rsidR="000B4A43" w:rsidRPr="00B50429" w14:paraId="55E63A28" w14:textId="77777777" w:rsidTr="00B50429">
        <w:trPr>
          <w:cantSplit/>
          <w:jc w:val="center"/>
        </w:trPr>
        <w:tc>
          <w:tcPr>
            <w:tcW w:w="219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306FD5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Arts, movement and drama create participatory and embodied multilingual learning spaces.</w:t>
            </w:r>
          </w:p>
        </w:tc>
        <w:tc>
          <w:tcPr>
            <w:tcW w:w="21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3F0317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  <w:lang w:val="fr-FR"/>
              </w:rPr>
              <w:t xml:space="preserve">Lundberg et al. (2023); Žefran et al. </w:t>
            </w:r>
            <w:r w:rsidRPr="00B50429">
              <w:rPr>
                <w:sz w:val="16"/>
                <w:szCs w:val="16"/>
              </w:rPr>
              <w:t>(2025)</w:t>
            </w:r>
          </w:p>
        </w:tc>
        <w:tc>
          <w:tcPr>
            <w:tcW w:w="221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66527C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Translanguaging / plurilingual; pluralistic/language-awareness</w:t>
            </w:r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7743AE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Arts/movement/drama</w:t>
            </w:r>
          </w:p>
        </w:tc>
        <w:tc>
          <w:tcPr>
            <w:tcW w:w="219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6C1B83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Shows that multilingual education also involves identity, agency, creativity and embodied participation</w:t>
            </w:r>
          </w:p>
        </w:tc>
        <w:tc>
          <w:tcPr>
            <w:tcW w:w="219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685E5D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 class; small group</w:t>
            </w:r>
          </w:p>
        </w:tc>
        <w:tc>
          <w:tcPr>
            <w:tcW w:w="22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F8CD3C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Translanguaging-based / affirming; affirming / cross-linguistic</w:t>
            </w:r>
          </w:p>
        </w:tc>
      </w:tr>
      <w:tr w:rsidR="000B4A43" w:rsidRPr="00B50429" w14:paraId="4FC1D1DD" w14:textId="77777777" w:rsidTr="00B50429">
        <w:trPr>
          <w:cantSplit/>
          <w:jc w:val="center"/>
        </w:trPr>
        <w:tc>
          <w:tcPr>
            <w:tcW w:w="2195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1F5AE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Multimodal and multisensory activities are widely used across several approaches.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4B1CA7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Engel de Abreu et al. (2025); Gkaintartzi &amp; Katsara (2024); Incognito et al. (2021); Laursen &amp; Daugaard (2025); Rendón-Romero et al. (2021); Žefran et al. (2025)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72A08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Oral-language/literacy intervention; pluralistic/language-awareness; literacy/emergent-literacy; translanguaging/plurilingual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43605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Multimodal/multisensory activities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0931BC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Shows that visual, material, embodied and sensory support is central to multilingual pedagogy for young learners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5E3EC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 class; small group; individual depending on study</w:t>
            </w:r>
          </w:p>
        </w:tc>
        <w:tc>
          <w:tcPr>
            <w:tcW w:w="2202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C59A6A" w14:textId="77777777" w:rsidR="000B4A43" w:rsidRPr="00B50429" w:rsidRDefault="000B4A43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Scaffolding; cross-linguistic; affirming</w:t>
            </w:r>
          </w:p>
        </w:tc>
      </w:tr>
    </w:tbl>
    <w:p w14:paraId="3105B73A" w14:textId="1E720D26" w:rsidR="00B926B4" w:rsidRDefault="00B926B4">
      <w:pPr>
        <w:rPr>
          <w:lang w:val="en-US"/>
        </w:rPr>
      </w:pPr>
    </w:p>
    <w:p w14:paraId="186F3A28" w14:textId="77777777" w:rsidR="00B926B4" w:rsidRDefault="00B926B4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15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2"/>
        <w:gridCol w:w="1880"/>
        <w:gridCol w:w="1899"/>
        <w:gridCol w:w="1932"/>
        <w:gridCol w:w="1909"/>
        <w:gridCol w:w="2101"/>
        <w:gridCol w:w="1875"/>
        <w:gridCol w:w="1912"/>
      </w:tblGrid>
      <w:tr w:rsidR="00B926B4" w:rsidRPr="00B50429" w14:paraId="60C4CD29" w14:textId="77777777" w:rsidTr="00B50429">
        <w:trPr>
          <w:tblHeader/>
          <w:jc w:val="center"/>
        </w:trPr>
        <w:tc>
          <w:tcPr>
            <w:tcW w:w="15400" w:type="dxa"/>
            <w:gridSpan w:val="8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B9A392" w14:textId="4C43264A" w:rsidR="00B926B4" w:rsidRPr="00B50429" w:rsidRDefault="00B926B4" w:rsidP="00C82AD7">
            <w:pPr>
              <w:rPr>
                <w:b/>
                <w:sz w:val="16"/>
                <w:szCs w:val="16"/>
                <w:lang w:val="en-US"/>
              </w:rPr>
            </w:pPr>
            <w:r w:rsidRPr="00B50429">
              <w:rPr>
                <w:b/>
                <w:sz w:val="16"/>
                <w:szCs w:val="16"/>
                <w:lang w:val="en-US"/>
              </w:rPr>
              <w:lastRenderedPageBreak/>
              <w:t xml:space="preserve">Table A7 </w:t>
            </w:r>
            <w:r w:rsidRPr="00B50429">
              <w:rPr>
                <w:bCs/>
                <w:sz w:val="16"/>
                <w:szCs w:val="16"/>
                <w:lang w:val="en-US"/>
              </w:rPr>
              <w:t>Language comparison and multimodal activities as routes to metalinguistic and plurilingual awareness</w:t>
            </w:r>
          </w:p>
        </w:tc>
      </w:tr>
      <w:tr w:rsidR="00B926B4" w:rsidRPr="00B50429" w14:paraId="37ECBED7" w14:textId="77777777" w:rsidTr="00B50429">
        <w:trPr>
          <w:tblHeader/>
          <w:jc w:val="center"/>
        </w:trPr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16D1B7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Discussion pattern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85ABB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Studies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3D9E83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RQ1 broader categorisation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6D49E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Practice type from RQ2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4780C0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What children are invited to do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2306F0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Main competence domain(s)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E0013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Grouping format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E5BF67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Veerman et al. primary/secondary</w:t>
            </w:r>
          </w:p>
        </w:tc>
      </w:tr>
      <w:tr w:rsidR="00B926B4" w:rsidRPr="00B50429" w14:paraId="7F237061" w14:textId="77777777" w:rsidTr="00B50429">
        <w:trPr>
          <w:cantSplit/>
          <w:jc w:val="center"/>
        </w:trPr>
        <w:tc>
          <w:tcPr>
            <w:tcW w:w="192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6211A7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Language comparison supports metalinguistic and plurilingual awareness.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BFB74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Engel de Abreu et al. (2025)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A4512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Oral language / literacy intervention approaches</w:t>
            </w:r>
          </w:p>
        </w:tc>
        <w:tc>
          <w:tcPr>
            <w:tcW w:w="1934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8724B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Language comparison; vocabulary intervention; multimodal activities</w:t>
            </w:r>
          </w:p>
        </w:tc>
        <w:tc>
          <w:tcPr>
            <w:tcW w:w="1926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858E45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Compare or connect languages within a heritage-language intervention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FE3E8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Oral language; literacy/emergent literacy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C6F20D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Small group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40D476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Scaffolding / affirming</w:t>
            </w:r>
          </w:p>
        </w:tc>
      </w:tr>
      <w:tr w:rsidR="00B926B4" w:rsidRPr="00B50429" w14:paraId="4C009559" w14:textId="77777777" w:rsidTr="00B50429">
        <w:trPr>
          <w:cantSplit/>
          <w:jc w:val="center"/>
        </w:trPr>
        <w:tc>
          <w:tcPr>
            <w:tcW w:w="19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9B3E50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Language comparison is central to Awakening to Languages / language-awareness work.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B24D52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Gkaintartzi &amp; Katsara (2024)</w:t>
            </w:r>
          </w:p>
        </w:tc>
        <w:tc>
          <w:tcPr>
            <w:tcW w:w="192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CF67E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Pluralistic / language-awareness approaches</w:t>
            </w:r>
          </w:p>
        </w:tc>
        <w:tc>
          <w:tcPr>
            <w:tcW w:w="19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98FFFC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Language comparison; songs/rhymes/chants; play; multimodal activities</w:t>
            </w:r>
          </w:p>
        </w:tc>
        <w:tc>
          <w:tcPr>
            <w:tcW w:w="19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A159EF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Explore multiple languages, scripts, sounds or words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041B8A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Metalinguistic/plurilingual awareness; intercultural awareness/attitudes</w:t>
            </w:r>
          </w:p>
        </w:tc>
        <w:tc>
          <w:tcPr>
            <w:tcW w:w="19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A13E52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 class</w:t>
            </w:r>
          </w:p>
        </w:tc>
        <w:tc>
          <w:tcPr>
            <w:tcW w:w="192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E0AAAD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Cross-linguistic / affirming</w:t>
            </w:r>
          </w:p>
        </w:tc>
      </w:tr>
      <w:tr w:rsidR="00B926B4" w:rsidRPr="00B50429" w14:paraId="5CECCB11" w14:textId="77777777" w:rsidTr="00B50429">
        <w:trPr>
          <w:cantSplit/>
          <w:jc w:val="center"/>
        </w:trPr>
        <w:tc>
          <w:tcPr>
            <w:tcW w:w="19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E63C1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Language comparison can emerge through children’s engagement with written signs.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F5B696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Laursen &amp; Daugaard (2025)</w:t>
            </w:r>
          </w:p>
        </w:tc>
        <w:tc>
          <w:tcPr>
            <w:tcW w:w="192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6A594E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Translanguaging / plurilingual approaches</w:t>
            </w:r>
          </w:p>
        </w:tc>
        <w:tc>
          <w:tcPr>
            <w:tcW w:w="19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0E3BF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Storytelling/narrative work; language comparison; multimodal/multisensory activities</w:t>
            </w:r>
          </w:p>
        </w:tc>
        <w:tc>
          <w:tcPr>
            <w:tcW w:w="19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5DEB23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Compare written signs and discuss language forms through metalanguaging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123B8A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Metalinguistic/plurilingual awareness; participation/identity/agency</w:t>
            </w:r>
          </w:p>
        </w:tc>
        <w:tc>
          <w:tcPr>
            <w:tcW w:w="19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2DBD9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Small group</w:t>
            </w:r>
          </w:p>
        </w:tc>
        <w:tc>
          <w:tcPr>
            <w:tcW w:w="192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8FA73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Cross-linguistic / affirming</w:t>
            </w:r>
          </w:p>
        </w:tc>
      </w:tr>
      <w:tr w:rsidR="00B926B4" w:rsidRPr="00B50429" w14:paraId="041E280D" w14:textId="77777777" w:rsidTr="00B50429">
        <w:trPr>
          <w:cantSplit/>
          <w:jc w:val="center"/>
        </w:trPr>
        <w:tc>
          <w:tcPr>
            <w:tcW w:w="19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373B59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Phonics can involve cross-language transfer between literacy systems.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C7595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Rendón-Romero et al. (2021)</w:t>
            </w:r>
          </w:p>
        </w:tc>
        <w:tc>
          <w:tcPr>
            <w:tcW w:w="192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67D470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Literacy / emergent-literacy approaches</w:t>
            </w:r>
          </w:p>
        </w:tc>
        <w:tc>
          <w:tcPr>
            <w:tcW w:w="19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D881C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Phonics/literacy instruction; songs/rhymes/chants; play; multimodal activities</w:t>
            </w:r>
          </w:p>
        </w:tc>
        <w:tc>
          <w:tcPr>
            <w:tcW w:w="19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B4F39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Work with sound-letter links and biliteracy transfer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CB0844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Literacy/emergent literacy</w:t>
            </w:r>
          </w:p>
        </w:tc>
        <w:tc>
          <w:tcPr>
            <w:tcW w:w="19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08C1E9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 class</w:t>
            </w:r>
          </w:p>
        </w:tc>
        <w:tc>
          <w:tcPr>
            <w:tcW w:w="192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4041A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Scaffolding / cross-linguistic</w:t>
            </w:r>
          </w:p>
        </w:tc>
      </w:tr>
      <w:tr w:rsidR="00B926B4" w:rsidRPr="00B50429" w14:paraId="19366DD3" w14:textId="77777777" w:rsidTr="00B50429">
        <w:trPr>
          <w:cantSplit/>
          <w:jc w:val="center"/>
        </w:trPr>
        <w:tc>
          <w:tcPr>
            <w:tcW w:w="192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31C98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Language comparison is also used in pluralistic kindergarten models.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9CAA97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Žefran et al. (2025)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9459C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Pluralistic / language-awareness approaches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005B19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Language comparison; storytelling; songs/rhymes/chants; arts/movement/drama; multimodal activities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B3975C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Notice and compare languages/cultures through varied activities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296FD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Metalinguistic/plurilingual awareness; intercultural awareness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273755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 class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82A665" w14:textId="77777777" w:rsidR="00B926B4" w:rsidRPr="00B50429" w:rsidRDefault="00B926B4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Affirming / cross-linguistic</w:t>
            </w:r>
          </w:p>
        </w:tc>
      </w:tr>
    </w:tbl>
    <w:p w14:paraId="108020AB" w14:textId="2976D0E5" w:rsidR="00CE0488" w:rsidRDefault="00CE0488">
      <w:pPr>
        <w:rPr>
          <w:lang w:val="en-US"/>
        </w:rPr>
      </w:pPr>
    </w:p>
    <w:p w14:paraId="4E38AD2C" w14:textId="77777777" w:rsidR="00CE0488" w:rsidRDefault="00CE0488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15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2"/>
        <w:gridCol w:w="2559"/>
        <w:gridCol w:w="2564"/>
        <w:gridCol w:w="2572"/>
        <w:gridCol w:w="2565"/>
        <w:gridCol w:w="2578"/>
      </w:tblGrid>
      <w:tr w:rsidR="00CE0488" w:rsidRPr="00B50429" w14:paraId="33990BBF" w14:textId="77777777" w:rsidTr="00B50429">
        <w:trPr>
          <w:tblHeader/>
          <w:jc w:val="center"/>
        </w:trPr>
        <w:tc>
          <w:tcPr>
            <w:tcW w:w="15400" w:type="dxa"/>
            <w:gridSpan w:val="6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1A022" w14:textId="7596C0A4" w:rsidR="00CE0488" w:rsidRPr="00B50429" w:rsidRDefault="00CE0488" w:rsidP="00C82AD7">
            <w:pPr>
              <w:rPr>
                <w:b/>
                <w:sz w:val="16"/>
                <w:szCs w:val="16"/>
                <w:lang w:val="en-US"/>
              </w:rPr>
            </w:pPr>
            <w:r w:rsidRPr="00B50429">
              <w:rPr>
                <w:b/>
                <w:sz w:val="16"/>
                <w:szCs w:val="16"/>
                <w:lang w:val="en-US"/>
              </w:rPr>
              <w:lastRenderedPageBreak/>
              <w:t xml:space="preserve">Table A8 </w:t>
            </w:r>
            <w:r w:rsidRPr="00B50429">
              <w:rPr>
                <w:bCs/>
                <w:sz w:val="16"/>
                <w:szCs w:val="16"/>
                <w:lang w:val="en-US"/>
              </w:rPr>
              <w:t>Grouping format, practice aim and pedagogical orientation</w:t>
            </w:r>
          </w:p>
        </w:tc>
      </w:tr>
      <w:tr w:rsidR="00CE0488" w:rsidRPr="00B50429" w14:paraId="747E4D13" w14:textId="77777777" w:rsidTr="00B50429">
        <w:trPr>
          <w:tblHeader/>
          <w:jc w:val="center"/>
        </w:trPr>
        <w:tc>
          <w:tcPr>
            <w:tcW w:w="2562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84281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Discussion pattern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C40AE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Grouping format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4A29C2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Studies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30A316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Practice types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ED51E5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Pedagogical interpretation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6B7BEE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b/>
                <w:sz w:val="16"/>
                <w:szCs w:val="16"/>
              </w:rPr>
              <w:t>RQ1 connection</w:t>
            </w:r>
          </w:p>
        </w:tc>
      </w:tr>
      <w:tr w:rsidR="00CE0488" w:rsidRPr="00B50429" w14:paraId="4A14A97D" w14:textId="77777777" w:rsidTr="00B50429">
        <w:trPr>
          <w:cantSplit/>
          <w:jc w:val="center"/>
        </w:trPr>
        <w:tc>
          <w:tcPr>
            <w:tcW w:w="2562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5FB628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Small-group arrangements are used where closer interaction, targeted support or focused participation is required.</w:t>
            </w:r>
          </w:p>
        </w:tc>
        <w:tc>
          <w:tcPr>
            <w:tcW w:w="255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BF7DE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Small group</w:t>
            </w:r>
          </w:p>
        </w:tc>
        <w:tc>
          <w:tcPr>
            <w:tcW w:w="2564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0E99A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  <w:lang w:val="nl-NL"/>
              </w:rPr>
              <w:t xml:space="preserve">Engel de Abreu et al. (2025); Geiger-Jaillet &amp; Schlemminger (2023); Laursen &amp; Daugaard (2025); Lilja et al. </w:t>
            </w:r>
            <w:r w:rsidRPr="00B50429">
              <w:rPr>
                <w:sz w:val="16"/>
                <w:szCs w:val="16"/>
              </w:rPr>
              <w:t>(2025); Sundström et al. (2024)</w:t>
            </w:r>
          </w:p>
        </w:tc>
        <w:tc>
          <w:tcPr>
            <w:tcW w:w="2572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CE666E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Vocabulary intervention; heritage-language intervention; narrative intervention; storytelling; language comparison; shared/dialogic reading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3C4741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Small groups allow more adult-child interaction, scaffolding and participation</w:t>
            </w:r>
          </w:p>
        </w:tc>
        <w:tc>
          <w:tcPr>
            <w:tcW w:w="257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86526A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Mainly oral-language/literacy intervention and translanguaging/plurilingual approaches</w:t>
            </w:r>
          </w:p>
        </w:tc>
      </w:tr>
      <w:tr w:rsidR="00CE0488" w:rsidRPr="00B50429" w14:paraId="344C76A5" w14:textId="77777777" w:rsidTr="00B50429">
        <w:trPr>
          <w:cantSplit/>
          <w:jc w:val="center"/>
        </w:trPr>
        <w:tc>
          <w:tcPr>
            <w:tcW w:w="2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6F95A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Whole-class arrangements are common in classroom-based multilingual awareness, CLIL, phonics and programme-level activities.</w:t>
            </w:r>
          </w:p>
        </w:tc>
        <w:tc>
          <w:tcPr>
            <w:tcW w:w="2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88BC7A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 class</w:t>
            </w:r>
          </w:p>
        </w:tc>
        <w:tc>
          <w:tcPr>
            <w:tcW w:w="25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35270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  <w:lang w:val="it-IT"/>
              </w:rPr>
              <w:t xml:space="preserve">Gkaintartzi &amp; Katsara (2024); Rendón-Romero et al. </w:t>
            </w:r>
            <w:r w:rsidRPr="00B50429">
              <w:rPr>
                <w:sz w:val="16"/>
                <w:szCs w:val="16"/>
              </w:rPr>
              <w:t>(2021); Uhl et al. (2023); Verhagen et al. (2024); Žefran et al. (2025)</w:t>
            </w:r>
          </w:p>
        </w:tc>
        <w:tc>
          <w:tcPr>
            <w:tcW w:w="25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6E5C6B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Language comparison; songs/rhymes/chants; phonics; CLIL/bilingual programme activities; centre-based routines</w:t>
            </w:r>
          </w:p>
        </w:tc>
        <w:tc>
          <w:tcPr>
            <w:tcW w:w="25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DC4486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Whole-class formats support exposure, shared routines and collective language-awareness work</w:t>
            </w:r>
          </w:p>
        </w:tc>
        <w:tc>
          <w:tcPr>
            <w:tcW w:w="257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D7F61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Pluralistic/language-awareness; bilingual/CLIL; literacy/emergent literacy</w:t>
            </w:r>
          </w:p>
        </w:tc>
      </w:tr>
      <w:tr w:rsidR="00CE0488" w:rsidRPr="00B50429" w14:paraId="7C2ABDE8" w14:textId="77777777" w:rsidTr="00B50429">
        <w:trPr>
          <w:cantSplit/>
          <w:jc w:val="center"/>
        </w:trPr>
        <w:tc>
          <w:tcPr>
            <w:tcW w:w="25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705993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Combined whole-class and small-group formats appear in interaction-rich and routine-embedded practices.</w:t>
            </w:r>
          </w:p>
        </w:tc>
        <w:tc>
          <w:tcPr>
            <w:tcW w:w="2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9611A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 class + small group</w:t>
            </w:r>
          </w:p>
        </w:tc>
        <w:tc>
          <w:tcPr>
            <w:tcW w:w="25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7EF04B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  <w:lang w:val="de-DE"/>
              </w:rPr>
              <w:t xml:space="preserve">Becker &amp; Knoll (2022); Kirsch &amp; Bergeron-Morin (2023); Lundberg et al. </w:t>
            </w:r>
            <w:r w:rsidRPr="00B50429">
              <w:rPr>
                <w:sz w:val="16"/>
                <w:szCs w:val="16"/>
              </w:rPr>
              <w:t>(2023); Voltmer et al. (2021)</w:t>
            </w:r>
          </w:p>
        </w:tc>
        <w:tc>
          <w:tcPr>
            <w:tcW w:w="25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562E1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Translanguaging interaction; shared/dialogic reading; parent-supported literacy; arts/movement/drama; teacher-mediated support</w:t>
            </w:r>
          </w:p>
        </w:tc>
        <w:tc>
          <w:tcPr>
            <w:tcW w:w="25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3F58D5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Combination allows both collective participation and more focused interaction</w:t>
            </w:r>
          </w:p>
        </w:tc>
        <w:tc>
          <w:tcPr>
            <w:tcW w:w="257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3FD067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Translanguaging/plurilingual; home-ECEC collaboration; oral-language/literacy intervention</w:t>
            </w:r>
          </w:p>
        </w:tc>
      </w:tr>
      <w:tr w:rsidR="00CE0488" w:rsidRPr="00B50429" w14:paraId="388C13DF" w14:textId="77777777" w:rsidTr="00B50429">
        <w:trPr>
          <w:cantSplit/>
          <w:jc w:val="center"/>
        </w:trPr>
        <w:tc>
          <w:tcPr>
            <w:tcW w:w="2562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C459DB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Multi-format organisation appears in more formally structured intervention designs.</w:t>
            </w:r>
          </w:p>
        </w:tc>
        <w:tc>
          <w:tcPr>
            <w:tcW w:w="255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7E1AE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Whole class + small group + individual</w:t>
            </w:r>
          </w:p>
        </w:tc>
        <w:tc>
          <w:tcPr>
            <w:tcW w:w="2564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98FC0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Incognito et al. (2021)</w:t>
            </w:r>
          </w:p>
        </w:tc>
        <w:tc>
          <w:tcPr>
            <w:tcW w:w="2572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EC93CA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Phonics/literacy instruction; storytelling; play; multimodal activities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EE7A74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Multiple formats reflect structured implementation and assessment needs</w:t>
            </w:r>
          </w:p>
        </w:tc>
        <w:tc>
          <w:tcPr>
            <w:tcW w:w="2578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DCBEAF" w14:textId="77777777" w:rsidR="00CE0488" w:rsidRPr="00B50429" w:rsidRDefault="00CE0488" w:rsidP="00C82AD7">
            <w:pPr>
              <w:rPr>
                <w:sz w:val="16"/>
                <w:szCs w:val="16"/>
              </w:rPr>
            </w:pPr>
            <w:r w:rsidRPr="00B50429">
              <w:rPr>
                <w:sz w:val="16"/>
                <w:szCs w:val="16"/>
              </w:rPr>
              <w:t>Literacy/emergent-literacy approach</w:t>
            </w:r>
          </w:p>
        </w:tc>
      </w:tr>
    </w:tbl>
    <w:p w14:paraId="028AFF75" w14:textId="6F418C17" w:rsidR="006E4393" w:rsidRDefault="006E4393">
      <w:pPr>
        <w:rPr>
          <w:lang w:val="en-US"/>
        </w:rPr>
      </w:pPr>
    </w:p>
    <w:p w14:paraId="40A8336F" w14:textId="77777777" w:rsidR="006E4393" w:rsidRDefault="006E4393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1798"/>
        <w:gridCol w:w="2158"/>
        <w:gridCol w:w="1876"/>
        <w:gridCol w:w="2405"/>
        <w:gridCol w:w="1871"/>
        <w:gridCol w:w="2037"/>
      </w:tblGrid>
      <w:tr w:rsidR="006E4393" w:rsidRPr="00DF5469" w14:paraId="73D0A0F9" w14:textId="77777777" w:rsidTr="00DF5469">
        <w:trPr>
          <w:tblHeader/>
          <w:jc w:val="center"/>
        </w:trPr>
        <w:tc>
          <w:tcPr>
            <w:tcW w:w="13948" w:type="dxa"/>
            <w:gridSpan w:val="7"/>
            <w:tcBorders>
              <w:bottom w:val="single" w:sz="4" w:space="0" w:color="auto"/>
            </w:tcBorders>
          </w:tcPr>
          <w:p w14:paraId="7B1871BF" w14:textId="0FF6D35E" w:rsidR="006E4393" w:rsidRPr="00DF5469" w:rsidRDefault="006E4393" w:rsidP="006E4393">
            <w:pPr>
              <w:rPr>
                <w:rFonts w:ascii="Aptos" w:eastAsia="Aptos" w:hAnsi="Aptos"/>
                <w:b/>
                <w:sz w:val="16"/>
                <w:szCs w:val="16"/>
                <w:lang w:val="en-US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lastRenderedPageBreak/>
              <w:t>Table A8</w:t>
            </w:r>
            <w:r w:rsid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t xml:space="preserve"> </w:t>
            </w:r>
            <w:r w:rsidRPr="00DF5469">
              <w:rPr>
                <w:rFonts w:ascii="Aptos" w:eastAsia="Aptos" w:hAnsi="Aptos"/>
                <w:bCs/>
                <w:sz w:val="16"/>
                <w:szCs w:val="16"/>
                <w:lang w:val="en-US"/>
              </w:rPr>
              <w:t>Integrated synthesis linking RQ1, RQ2, RQ3 benefits and challenges, and reporting level</w:t>
            </w:r>
            <w:r w:rsidRP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6E4393" w:rsidRPr="00DF5469" w14:paraId="12968E78" w14:textId="77777777" w:rsidTr="00DF5469">
        <w:trPr>
          <w:tblHeader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FCA0484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Broad grouping in final discussion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14:paraId="541BF19A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Table 6 benefit category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4F107CE2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RQ1 links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4693BF12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RQ2 links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14:paraId="2D15EEA1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Main RQ3 benefits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14:paraId="3D706F34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Main cautions / challenges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14:paraId="1D66FA21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Studies and typical reporting level</w:t>
            </w:r>
          </w:p>
        </w:tc>
      </w:tr>
      <w:tr w:rsidR="006E4393" w:rsidRPr="00DF5469" w14:paraId="3C3EE233" w14:textId="77777777" w:rsidTr="00DF5469">
        <w:trPr>
          <w:jc w:val="center"/>
        </w:trPr>
        <w:tc>
          <w:tcPr>
            <w:tcW w:w="1876" w:type="dxa"/>
            <w:tcBorders>
              <w:top w:val="single" w:sz="4" w:space="0" w:color="auto"/>
            </w:tcBorders>
          </w:tcPr>
          <w:p w14:paraId="34E45A33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Linguistic development outcomes</w:t>
            </w:r>
          </w:p>
        </w:tc>
        <w:tc>
          <w:tcPr>
            <w:tcW w:w="1865" w:type="dxa"/>
            <w:tcBorders>
              <w:top w:val="single" w:sz="4" w:space="0" w:color="auto"/>
            </w:tcBorders>
          </w:tcPr>
          <w:p w14:paraId="376530BE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/ literacy gains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400BB72D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Literacy/emergent-literacy, oral-language/literacy intervention, and bilingual education/CLIL orientations; targeted measurable competences.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1C7EFE22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Structured literacy, PASSI, phonics, vocabulary intervention, CLIL-type grammar development, shared/dialogic reading, teacher-mediated language support.</w:t>
            </w:r>
          </w:p>
        </w:tc>
        <w:tc>
          <w:tcPr>
            <w:tcW w:w="2183" w:type="dxa"/>
            <w:tcBorders>
              <w:top w:val="single" w:sz="4" w:space="0" w:color="auto"/>
            </w:tcBorders>
          </w:tcPr>
          <w:p w14:paraId="4EE82E73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Domain-specific gains in notational knowledge, phonological awareness, early reading-related skills, vocabulary, productive L2 grammar, and sentence-level processing.</w:t>
            </w: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3C4AD249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Effects often limited to targeted domains; transfer to broader competences not always evident; exposure, dosage, scaffolding and implementation conditions mattered.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14:paraId="1D721290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  <w:lang w:val="it-IT"/>
              </w:rPr>
              <w:t xml:space="preserve">Incognito et al. (2021); Rendón-Romero et al. </w:t>
            </w:r>
            <w:r w:rsidRPr="00DF5469">
              <w:rPr>
                <w:rFonts w:ascii="Aptos" w:eastAsia="Aptos" w:hAnsi="Aptos"/>
                <w:sz w:val="16"/>
                <w:szCs w:val="16"/>
              </w:rPr>
              <w:t>(2021); Sundström et al. (2024); Uhl et al. (2023); Voltmer et al. (2021). Mostly pupil outcomes.</w:t>
            </w:r>
          </w:p>
        </w:tc>
      </w:tr>
      <w:tr w:rsidR="006E4393" w:rsidRPr="00DF5469" w14:paraId="0F41BA31" w14:textId="77777777" w:rsidTr="00DF5469">
        <w:trPr>
          <w:jc w:val="center"/>
        </w:trPr>
        <w:tc>
          <w:tcPr>
            <w:tcW w:w="1876" w:type="dxa"/>
          </w:tcPr>
          <w:p w14:paraId="537887BB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Linguistic development outcomes</w:t>
            </w:r>
          </w:p>
        </w:tc>
        <w:tc>
          <w:tcPr>
            <w:tcW w:w="1865" w:type="dxa"/>
          </w:tcPr>
          <w:p w14:paraId="51FBFC88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Additive bilingualism / cross-linguistic transfer</w:t>
            </w:r>
          </w:p>
        </w:tc>
        <w:tc>
          <w:tcPr>
            <w:tcW w:w="2123" w:type="dxa"/>
          </w:tcPr>
          <w:p w14:paraId="4B13C0F3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Cross-language transfer, Linguistic Interdependence Hypothesis, additive bilingualism, exposure-based bilingual development, bilingual ECEC models.</w:t>
            </w:r>
          </w:p>
        </w:tc>
        <w:tc>
          <w:tcPr>
            <w:tcW w:w="1926" w:type="dxa"/>
          </w:tcPr>
          <w:p w14:paraId="4FDE186C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Structured heritage-language oral-language intervention and bilingual ECEC exposure-based routines.</w:t>
            </w:r>
          </w:p>
        </w:tc>
        <w:tc>
          <w:tcPr>
            <w:tcW w:w="2183" w:type="dxa"/>
          </w:tcPr>
          <w:p w14:paraId="165BC187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Development in an additional or heritage language without compromising the majority/school language; Portuguese and English gains; some transfer to Luxembourgish; no negative effects on German or Dutch.</w:t>
            </w:r>
          </w:p>
        </w:tc>
        <w:tc>
          <w:tcPr>
            <w:tcW w:w="1922" w:type="dxa"/>
          </w:tcPr>
          <w:p w14:paraId="591C06CC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Effects varied across languages and outcome measures; German outcomes did not improve significantly in Engel de Abreu et al.; extra Dutch exposure did not clearly enhance Dutch growth in Verhagen et al.</w:t>
            </w:r>
          </w:p>
        </w:tc>
        <w:tc>
          <w:tcPr>
            <w:tcW w:w="2053" w:type="dxa"/>
          </w:tcPr>
          <w:p w14:paraId="233DA723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  <w:lang w:val="nl-NL"/>
              </w:rPr>
              <w:t xml:space="preserve">Engel de Abreu et al. (2025); Verhagen et al. </w:t>
            </w:r>
            <w:r w:rsidRPr="00DF5469">
              <w:rPr>
                <w:rFonts w:ascii="Aptos" w:eastAsia="Aptos" w:hAnsi="Aptos"/>
                <w:sz w:val="16"/>
                <w:szCs w:val="16"/>
              </w:rPr>
              <w:t>(2024). Mostly pupil outcomes / bilingual vocabulary growth.</w:t>
            </w:r>
          </w:p>
        </w:tc>
      </w:tr>
      <w:tr w:rsidR="006E4393" w:rsidRPr="00DF5469" w14:paraId="4C685C00" w14:textId="77777777" w:rsidTr="00DF5469">
        <w:trPr>
          <w:jc w:val="center"/>
        </w:trPr>
        <w:tc>
          <w:tcPr>
            <w:tcW w:w="1876" w:type="dxa"/>
          </w:tcPr>
          <w:p w14:paraId="6790A06C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Awareness, attitudes, engagement and inclusion</w:t>
            </w:r>
          </w:p>
        </w:tc>
        <w:tc>
          <w:tcPr>
            <w:tcW w:w="1865" w:type="dxa"/>
          </w:tcPr>
          <w:p w14:paraId="32673909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 / attitudinal gains</w:t>
            </w:r>
          </w:p>
        </w:tc>
        <w:tc>
          <w:tcPr>
            <w:tcW w:w="2123" w:type="dxa"/>
          </w:tcPr>
          <w:p w14:paraId="3D03D407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Translanguaging/plurilingual and pluralistic/language-awareness frameworks; metalinguistic/plurilingual awareness, intercultural awareness and attitudes.</w:t>
            </w:r>
          </w:p>
        </w:tc>
        <w:tc>
          <w:tcPr>
            <w:tcW w:w="1926" w:type="dxa"/>
          </w:tcPr>
          <w:p w14:paraId="56E9EE81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comparison, songs, rhymes, chants, storytelling, arts, movement, drama, multilingual artefacts, scripts/signs, multimodal and multisensory activities.</w:t>
            </w:r>
          </w:p>
        </w:tc>
        <w:tc>
          <w:tcPr>
            <w:tcW w:w="2183" w:type="dxa"/>
          </w:tcPr>
          <w:p w14:paraId="676F9C29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Increased language awareness, curiosity, openness to linguistic diversity, positive attitudes, print engagement, metalanguage/metalanguaging, and enthusiastic participation.</w:t>
            </w:r>
          </w:p>
        </w:tc>
        <w:tc>
          <w:tcPr>
            <w:tcW w:w="1922" w:type="dxa"/>
          </w:tcPr>
          <w:p w14:paraId="3FC6ADCE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Difficult to evaluate through conventional measures; some evidence qualitative, perception-based, or context-specific; sustainability depends on curricular and institutional support.</w:t>
            </w:r>
          </w:p>
        </w:tc>
        <w:tc>
          <w:tcPr>
            <w:tcW w:w="2053" w:type="dxa"/>
          </w:tcPr>
          <w:p w14:paraId="44069AAB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Becker &amp; Knoll (2022); Gkaintartzi &amp; Katsara (2024); Laursen &amp; Daugaard (2025); Žefran et al. (2025). Classroom/pedagogical practice, pupil interaction, and programme perceptions.</w:t>
            </w:r>
          </w:p>
        </w:tc>
      </w:tr>
      <w:tr w:rsidR="006E4393" w:rsidRPr="00DF5469" w14:paraId="24090733" w14:textId="77777777" w:rsidTr="00DF5469">
        <w:trPr>
          <w:jc w:val="center"/>
        </w:trPr>
        <w:tc>
          <w:tcPr>
            <w:tcW w:w="1876" w:type="dxa"/>
            <w:tcBorders>
              <w:bottom w:val="single" w:sz="4" w:space="0" w:color="auto"/>
            </w:tcBorders>
          </w:tcPr>
          <w:p w14:paraId="5A9E4996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Awareness, attitudes, engagement and inclusion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0579D451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Engagement / inclusion gains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2DD2CC38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Translanguaging, sociocultural, ecological, affective, and socio-cognitive perspectives; participation, identity, agency, oral language, literacy/emergent literacy and plurilingual awareness.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0AF13AF1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Translanguaging interaction, shared reading, storytelling, parent-supported literacy activity, narrative work, and multimodal meaning-making.</w:t>
            </w: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14:paraId="636EE4AC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Participation, agency, confidence, identity affirmation, inclusion, home-language validation, and positioning of children as competent multilingual contributors.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14:paraId="3047925F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Home languages may remain marginal or symbolic; parent participation and translanguaging can be difficult to sustain; educator confidence and institutional framing are crucial.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14:paraId="44C711F7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  <w:lang w:val="nl-NL"/>
              </w:rPr>
              <w:t xml:space="preserve">Geiger-Jaillet &amp; Schlemminger (2023); Kirsch &amp; Bergeron-Morin (2023); Lilja et al. (2025); Lundberg et al. </w:t>
            </w:r>
            <w:r w:rsidRPr="00DF5469">
              <w:rPr>
                <w:rFonts w:ascii="Aptos" w:eastAsia="Aptos" w:hAnsi="Aptos"/>
                <w:sz w:val="16"/>
                <w:szCs w:val="16"/>
              </w:rPr>
              <w:t>(2023). Classroom interaction, pedagogy, educator implementation, pupil/parent/family levels.</w:t>
            </w:r>
          </w:p>
        </w:tc>
      </w:tr>
    </w:tbl>
    <w:p w14:paraId="6ED4A818" w14:textId="235A79D3" w:rsidR="006E4393" w:rsidRDefault="006E4393">
      <w:pPr>
        <w:rPr>
          <w:lang w:val="en-US"/>
        </w:rPr>
      </w:pPr>
    </w:p>
    <w:p w14:paraId="61005BF5" w14:textId="77777777" w:rsidR="006E4393" w:rsidRDefault="006E4393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3"/>
        <w:gridCol w:w="3613"/>
        <w:gridCol w:w="3524"/>
        <w:gridCol w:w="3418"/>
      </w:tblGrid>
      <w:tr w:rsidR="006E4393" w:rsidRPr="00DF5469" w14:paraId="0284E638" w14:textId="77777777" w:rsidTr="00DF5469">
        <w:trPr>
          <w:tblHeader/>
          <w:jc w:val="center"/>
        </w:trPr>
        <w:tc>
          <w:tcPr>
            <w:tcW w:w="13948" w:type="dxa"/>
            <w:gridSpan w:val="4"/>
            <w:tcBorders>
              <w:bottom w:val="single" w:sz="4" w:space="0" w:color="auto"/>
            </w:tcBorders>
          </w:tcPr>
          <w:p w14:paraId="02B55B86" w14:textId="2AF13A52" w:rsidR="006E4393" w:rsidRPr="00DF5469" w:rsidRDefault="006E4393" w:rsidP="006E4393">
            <w:pPr>
              <w:rPr>
                <w:rFonts w:ascii="Aptos" w:eastAsia="Aptos" w:hAnsi="Aptos"/>
                <w:b/>
                <w:sz w:val="16"/>
                <w:szCs w:val="16"/>
                <w:lang w:val="en-US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lastRenderedPageBreak/>
              <w:t xml:space="preserve">Table A9 </w:t>
            </w:r>
            <w:r w:rsidRPr="00DF5469">
              <w:rPr>
                <w:rFonts w:ascii="Aptos" w:eastAsia="Aptos" w:hAnsi="Aptos"/>
                <w:bCs/>
                <w:sz w:val="16"/>
                <w:szCs w:val="16"/>
                <w:lang w:val="en-US"/>
              </w:rPr>
              <w:t>Four benefit categories used in the final RQ3 discussion</w:t>
            </w:r>
          </w:p>
        </w:tc>
      </w:tr>
      <w:tr w:rsidR="006E4393" w:rsidRPr="00DF5469" w14:paraId="2143FE76" w14:textId="77777777" w:rsidTr="00DF5469">
        <w:trPr>
          <w:tblHeader/>
          <w:jc w:val="center"/>
        </w:trPr>
        <w:tc>
          <w:tcPr>
            <w:tcW w:w="3393" w:type="dxa"/>
            <w:tcBorders>
              <w:top w:val="single" w:sz="4" w:space="0" w:color="auto"/>
              <w:bottom w:val="single" w:sz="4" w:space="0" w:color="auto"/>
            </w:tcBorders>
          </w:tcPr>
          <w:p w14:paraId="501B4A58" w14:textId="77777777" w:rsidR="006E4393" w:rsidRPr="00DF5469" w:rsidRDefault="006E4393" w:rsidP="00DF5469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Table 6 benefit category</w:t>
            </w:r>
          </w:p>
        </w:tc>
        <w:tc>
          <w:tcPr>
            <w:tcW w:w="3613" w:type="dxa"/>
            <w:tcBorders>
              <w:top w:val="single" w:sz="4" w:space="0" w:color="auto"/>
              <w:bottom w:val="single" w:sz="4" w:space="0" w:color="auto"/>
            </w:tcBorders>
          </w:tcPr>
          <w:p w14:paraId="41FFF1A7" w14:textId="77777777" w:rsidR="006E4393" w:rsidRPr="00DF5469" w:rsidRDefault="006E4393" w:rsidP="00DF5469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Reported benefit in the final discussion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</w:tcBorders>
          </w:tcPr>
          <w:p w14:paraId="12E66BC9" w14:textId="77777777" w:rsidR="006E4393" w:rsidRPr="00DF5469" w:rsidRDefault="006E4393" w:rsidP="00DF5469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Typical evidence / reporting level</w:t>
            </w:r>
          </w:p>
        </w:tc>
        <w:tc>
          <w:tcPr>
            <w:tcW w:w="3418" w:type="dxa"/>
            <w:tcBorders>
              <w:top w:val="single" w:sz="4" w:space="0" w:color="auto"/>
              <w:bottom w:val="single" w:sz="4" w:space="0" w:color="auto"/>
            </w:tcBorders>
          </w:tcPr>
          <w:p w14:paraId="2CC1C8E0" w14:textId="77777777" w:rsidR="006E4393" w:rsidRPr="00DF5469" w:rsidRDefault="006E4393" w:rsidP="00DF5469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Relevant studies</w:t>
            </w:r>
          </w:p>
        </w:tc>
      </w:tr>
      <w:tr w:rsidR="006E4393" w:rsidRPr="00DF5469" w14:paraId="5739BDD6" w14:textId="77777777" w:rsidTr="00DF5469">
        <w:trPr>
          <w:jc w:val="center"/>
        </w:trPr>
        <w:tc>
          <w:tcPr>
            <w:tcW w:w="3393" w:type="dxa"/>
            <w:tcBorders>
              <w:top w:val="single" w:sz="4" w:space="0" w:color="auto"/>
            </w:tcBorders>
          </w:tcPr>
          <w:p w14:paraId="4885BA7A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/ literacy gains</w:t>
            </w:r>
          </w:p>
        </w:tc>
        <w:tc>
          <w:tcPr>
            <w:tcW w:w="3613" w:type="dxa"/>
            <w:tcBorders>
              <w:top w:val="single" w:sz="4" w:space="0" w:color="auto"/>
            </w:tcBorders>
          </w:tcPr>
          <w:p w14:paraId="4D4FAA58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Notational knowledge; phonological awareness; early reading-related skills; vocabulary; productive L2 grammar; sentence-level language processing.</w:t>
            </w:r>
          </w:p>
        </w:tc>
        <w:tc>
          <w:tcPr>
            <w:tcW w:w="3524" w:type="dxa"/>
            <w:tcBorders>
              <w:top w:val="single" w:sz="4" w:space="0" w:color="auto"/>
            </w:tcBorders>
          </w:tcPr>
          <w:p w14:paraId="0446CB83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Primarily pupil outcomes measured through tests or structured assessments.</w:t>
            </w:r>
          </w:p>
        </w:tc>
        <w:tc>
          <w:tcPr>
            <w:tcW w:w="3418" w:type="dxa"/>
            <w:tcBorders>
              <w:top w:val="single" w:sz="4" w:space="0" w:color="auto"/>
            </w:tcBorders>
          </w:tcPr>
          <w:p w14:paraId="2AFA1664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  <w:lang w:val="it-IT"/>
              </w:rPr>
              <w:t xml:space="preserve">Incognito et al. (2021); Rendón-Romero et al. </w:t>
            </w:r>
            <w:r w:rsidRPr="00DF5469">
              <w:rPr>
                <w:rFonts w:ascii="Aptos" w:eastAsia="Aptos" w:hAnsi="Aptos"/>
                <w:sz w:val="16"/>
                <w:szCs w:val="16"/>
              </w:rPr>
              <w:t>(2021); Sundström et al. (2024); Uhl et al. (2023); Voltmer et al. (2021)</w:t>
            </w:r>
          </w:p>
        </w:tc>
      </w:tr>
      <w:tr w:rsidR="006E4393" w:rsidRPr="00DF5469" w14:paraId="6EE512B1" w14:textId="77777777" w:rsidTr="00DF5469">
        <w:trPr>
          <w:jc w:val="center"/>
        </w:trPr>
        <w:tc>
          <w:tcPr>
            <w:tcW w:w="3393" w:type="dxa"/>
          </w:tcPr>
          <w:p w14:paraId="5D34ADD5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Additive bilingualism / cross-linguistic transfer</w:t>
            </w:r>
          </w:p>
        </w:tc>
        <w:tc>
          <w:tcPr>
            <w:tcW w:w="3613" w:type="dxa"/>
          </w:tcPr>
          <w:p w14:paraId="48FD9E38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Support for additional or heritage language development without compromising majority/school language development; cross-language transfer or no negative effects.</w:t>
            </w:r>
          </w:p>
        </w:tc>
        <w:tc>
          <w:tcPr>
            <w:tcW w:w="3524" w:type="dxa"/>
          </w:tcPr>
          <w:p w14:paraId="44AB9C04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Primarily pupil outcomes and bilingual vocabulary/language growth measures.</w:t>
            </w:r>
          </w:p>
        </w:tc>
        <w:tc>
          <w:tcPr>
            <w:tcW w:w="3418" w:type="dxa"/>
          </w:tcPr>
          <w:p w14:paraId="068D1ED9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  <w:lang w:val="nl-NL"/>
              </w:rPr>
              <w:t xml:space="preserve">Engel de Abreu et al. (2025); Verhagen et al. </w:t>
            </w:r>
            <w:r w:rsidRPr="00DF5469">
              <w:rPr>
                <w:rFonts w:ascii="Aptos" w:eastAsia="Aptos" w:hAnsi="Aptos"/>
                <w:sz w:val="16"/>
                <w:szCs w:val="16"/>
              </w:rPr>
              <w:t>(2024)</w:t>
            </w:r>
          </w:p>
        </w:tc>
      </w:tr>
      <w:tr w:rsidR="006E4393" w:rsidRPr="00DF5469" w14:paraId="1FD49597" w14:textId="77777777" w:rsidTr="00DF5469">
        <w:trPr>
          <w:jc w:val="center"/>
        </w:trPr>
        <w:tc>
          <w:tcPr>
            <w:tcW w:w="3393" w:type="dxa"/>
          </w:tcPr>
          <w:p w14:paraId="650B026A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 / attitudinal gains</w:t>
            </w:r>
          </w:p>
        </w:tc>
        <w:tc>
          <w:tcPr>
            <w:tcW w:w="3613" w:type="dxa"/>
          </w:tcPr>
          <w:p w14:paraId="72688EEC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awareness; curiosity about languages; openness to linguistic diversity; positive attitudes; print engagement; metalanguage/metalanguaging; enthusiastic participation.</w:t>
            </w:r>
          </w:p>
        </w:tc>
        <w:tc>
          <w:tcPr>
            <w:tcW w:w="3524" w:type="dxa"/>
          </w:tcPr>
          <w:p w14:paraId="303FDB96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Classroom/pedagogical practice, pupil interaction, classroom observations, interviews, participant or programme perceptions.</w:t>
            </w:r>
          </w:p>
        </w:tc>
        <w:tc>
          <w:tcPr>
            <w:tcW w:w="3418" w:type="dxa"/>
          </w:tcPr>
          <w:p w14:paraId="1CD7DA0B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Becker &amp; Knoll (2022); Gkaintartzi &amp; Katsara (2024); Laursen &amp; Daugaard (2025); Žefran et al. (2025)</w:t>
            </w:r>
          </w:p>
        </w:tc>
      </w:tr>
      <w:tr w:rsidR="006E4393" w:rsidRPr="00DF5469" w14:paraId="1EB93865" w14:textId="77777777" w:rsidTr="00DF5469">
        <w:trPr>
          <w:jc w:val="center"/>
        </w:trPr>
        <w:tc>
          <w:tcPr>
            <w:tcW w:w="3393" w:type="dxa"/>
            <w:tcBorders>
              <w:bottom w:val="single" w:sz="4" w:space="0" w:color="auto"/>
            </w:tcBorders>
          </w:tcPr>
          <w:p w14:paraId="397B812C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Engagement / inclusion gains</w:t>
            </w: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14:paraId="52173B1E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Participation; agency; confidence; identity; inclusion; home-language validation; recognition of children’s multilingual repertoires.</w:t>
            </w:r>
          </w:p>
        </w:tc>
        <w:tc>
          <w:tcPr>
            <w:tcW w:w="3524" w:type="dxa"/>
            <w:tcBorders>
              <w:bottom w:val="single" w:sz="4" w:space="0" w:color="auto"/>
            </w:tcBorders>
          </w:tcPr>
          <w:p w14:paraId="6043C856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Classroom interaction/pedagogy, educator implementation, pupil engagement, parent/family participation, centre/programme-level reporting.</w:t>
            </w:r>
          </w:p>
        </w:tc>
        <w:tc>
          <w:tcPr>
            <w:tcW w:w="3418" w:type="dxa"/>
            <w:tcBorders>
              <w:bottom w:val="single" w:sz="4" w:space="0" w:color="auto"/>
            </w:tcBorders>
          </w:tcPr>
          <w:p w14:paraId="23696E4D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  <w:lang w:val="nl-NL"/>
              </w:rPr>
              <w:t xml:space="preserve">Geiger-Jaillet &amp; Schlemminger (2023); Kirsch &amp; Bergeron-Morin (2023); Lilja et al. (2025); Lundberg et al. </w:t>
            </w:r>
            <w:r w:rsidRPr="00DF5469">
              <w:rPr>
                <w:rFonts w:ascii="Aptos" w:eastAsia="Aptos" w:hAnsi="Aptos"/>
                <w:sz w:val="16"/>
                <w:szCs w:val="16"/>
              </w:rPr>
              <w:t>(2023)</w:t>
            </w:r>
          </w:p>
        </w:tc>
      </w:tr>
    </w:tbl>
    <w:p w14:paraId="1A68037C" w14:textId="77777777" w:rsidR="005349BE" w:rsidRDefault="005349BE">
      <w:pPr>
        <w:rPr>
          <w:lang w:val="en-US"/>
        </w:rPr>
      </w:pPr>
    </w:p>
    <w:p w14:paraId="2505EE9F" w14:textId="77777777" w:rsidR="006E4393" w:rsidRDefault="006E4393">
      <w:pPr>
        <w:rPr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9"/>
        <w:gridCol w:w="3472"/>
        <w:gridCol w:w="3573"/>
        <w:gridCol w:w="3444"/>
      </w:tblGrid>
      <w:tr w:rsidR="006E4393" w:rsidRPr="00DF5469" w14:paraId="7A1EA70D" w14:textId="77777777" w:rsidTr="00DF5469">
        <w:trPr>
          <w:tblHeader/>
          <w:jc w:val="center"/>
        </w:trPr>
        <w:tc>
          <w:tcPr>
            <w:tcW w:w="13948" w:type="dxa"/>
            <w:gridSpan w:val="4"/>
            <w:tcBorders>
              <w:bottom w:val="single" w:sz="4" w:space="0" w:color="auto"/>
            </w:tcBorders>
          </w:tcPr>
          <w:p w14:paraId="749458C6" w14:textId="6F65D0AB" w:rsidR="006E4393" w:rsidRPr="00DF5469" w:rsidRDefault="006E4393" w:rsidP="006E4393">
            <w:pPr>
              <w:rPr>
                <w:rFonts w:ascii="Aptos" w:eastAsia="Aptos" w:hAnsi="Aptos"/>
                <w:b/>
                <w:sz w:val="16"/>
                <w:szCs w:val="16"/>
                <w:lang w:val="en-US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t>Table A10</w:t>
            </w:r>
            <w:r w:rsid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t xml:space="preserve"> </w:t>
            </w:r>
            <w:r w:rsidRPr="00DF5469">
              <w:rPr>
                <w:rFonts w:ascii="Aptos" w:eastAsia="Aptos" w:hAnsi="Aptos"/>
                <w:bCs/>
                <w:sz w:val="16"/>
                <w:szCs w:val="16"/>
                <w:lang w:val="en-US"/>
              </w:rPr>
              <w:t>Cross-cutting challenges across the four benefits categories.</w:t>
            </w:r>
          </w:p>
        </w:tc>
      </w:tr>
      <w:tr w:rsidR="006E4393" w:rsidRPr="00DF5469" w14:paraId="65196DCE" w14:textId="77777777" w:rsidTr="00DF5469">
        <w:trPr>
          <w:tblHeader/>
          <w:jc w:val="center"/>
        </w:trPr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14:paraId="41727682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Cross-cutting challenge in final discussion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14:paraId="5F391F6F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How it appears across categories</w:t>
            </w:r>
          </w:p>
        </w:tc>
        <w:tc>
          <w:tcPr>
            <w:tcW w:w="3573" w:type="dxa"/>
            <w:tcBorders>
              <w:top w:val="single" w:sz="4" w:space="0" w:color="auto"/>
              <w:bottom w:val="single" w:sz="4" w:space="0" w:color="auto"/>
            </w:tcBorders>
          </w:tcPr>
          <w:p w14:paraId="2D77C6BC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Reporting level most often involved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</w:tcPr>
          <w:p w14:paraId="670FD2DE" w14:textId="77777777" w:rsidR="006E4393" w:rsidRPr="00DF5469" w:rsidRDefault="006E4393" w:rsidP="00C82AD7">
            <w:pPr>
              <w:jc w:val="center"/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Studies</w:t>
            </w:r>
          </w:p>
        </w:tc>
      </w:tr>
      <w:tr w:rsidR="006E4393" w:rsidRPr="00DF5469" w14:paraId="74F2EAF4" w14:textId="77777777" w:rsidTr="00DF5469">
        <w:trPr>
          <w:jc w:val="center"/>
        </w:trPr>
        <w:tc>
          <w:tcPr>
            <w:tcW w:w="3459" w:type="dxa"/>
            <w:tcBorders>
              <w:top w:val="single" w:sz="4" w:space="0" w:color="auto"/>
            </w:tcBorders>
          </w:tcPr>
          <w:p w14:paraId="1B966BE7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Limited or uneven effects</w:t>
            </w:r>
          </w:p>
        </w:tc>
        <w:tc>
          <w:tcPr>
            <w:tcW w:w="3472" w:type="dxa"/>
            <w:tcBorders>
              <w:top w:val="single" w:sz="4" w:space="0" w:color="auto"/>
            </w:tcBorders>
          </w:tcPr>
          <w:p w14:paraId="74B63E41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Benefits were often restricted to directly targeted outcomes and did not necessarily generalise to broader language/literacy or majority-language measures.</w:t>
            </w:r>
          </w:p>
        </w:tc>
        <w:tc>
          <w:tcPr>
            <w:tcW w:w="3573" w:type="dxa"/>
            <w:tcBorders>
              <w:top w:val="single" w:sz="4" w:space="0" w:color="auto"/>
            </w:tcBorders>
          </w:tcPr>
          <w:p w14:paraId="0E7F2C71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Mostly pupil outcomes.</w:t>
            </w:r>
          </w:p>
        </w:tc>
        <w:tc>
          <w:tcPr>
            <w:tcW w:w="3444" w:type="dxa"/>
            <w:tcBorders>
              <w:top w:val="single" w:sz="4" w:space="0" w:color="auto"/>
            </w:tcBorders>
          </w:tcPr>
          <w:p w14:paraId="3FD8A306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Engel de Abreu et al. (2025); Incognito et al. (2021); Sundström et al. (2024); Uhl et al. (2023); Voltmer et al. (2021)</w:t>
            </w:r>
          </w:p>
        </w:tc>
      </w:tr>
      <w:tr w:rsidR="006E4393" w:rsidRPr="00DF5469" w14:paraId="35148CE6" w14:textId="77777777" w:rsidTr="00DF5469">
        <w:trPr>
          <w:jc w:val="center"/>
        </w:trPr>
        <w:tc>
          <w:tcPr>
            <w:tcW w:w="3459" w:type="dxa"/>
          </w:tcPr>
          <w:p w14:paraId="262C8150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Implementation and feasibility</w:t>
            </w:r>
          </w:p>
        </w:tc>
        <w:tc>
          <w:tcPr>
            <w:tcW w:w="3472" w:type="dxa"/>
          </w:tcPr>
          <w:p w14:paraId="1469987B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Practices required sustained professional support, time, resources, clear pedagogical objectives, fidelity, and appropriate adaptation to classroom realities.</w:t>
            </w:r>
          </w:p>
        </w:tc>
        <w:tc>
          <w:tcPr>
            <w:tcW w:w="3573" w:type="dxa"/>
          </w:tcPr>
          <w:p w14:paraId="320B65ED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Educator/implementation; classroom/pedagogical practice; pupil outcomes where implementation affected measured effects.</w:t>
            </w:r>
          </w:p>
        </w:tc>
        <w:tc>
          <w:tcPr>
            <w:tcW w:w="3444" w:type="dxa"/>
          </w:tcPr>
          <w:p w14:paraId="7A51F442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  <w:lang w:val="nl-NL"/>
              </w:rPr>
              <w:t xml:space="preserve">Geiger-Jaillet &amp; Schlemminger (2023); Kirsch &amp; Bergeron-Morin (2023); Lilja et al. (2025); Voltmer et al. </w:t>
            </w:r>
            <w:r w:rsidRPr="00DF5469">
              <w:rPr>
                <w:rFonts w:ascii="Aptos" w:eastAsia="Aptos" w:hAnsi="Aptos"/>
                <w:sz w:val="16"/>
                <w:szCs w:val="16"/>
              </w:rPr>
              <w:t>(2021)</w:t>
            </w:r>
          </w:p>
        </w:tc>
      </w:tr>
      <w:tr w:rsidR="006E4393" w:rsidRPr="00DF5469" w14:paraId="0D9CC95E" w14:textId="77777777" w:rsidTr="00DF5469">
        <w:trPr>
          <w:jc w:val="center"/>
        </w:trPr>
        <w:tc>
          <w:tcPr>
            <w:tcW w:w="3459" w:type="dxa"/>
          </w:tcPr>
          <w:p w14:paraId="706E3662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Monolingual ideology and limited home-language inclusion</w:t>
            </w:r>
          </w:p>
        </w:tc>
        <w:tc>
          <w:tcPr>
            <w:tcW w:w="3472" w:type="dxa"/>
          </w:tcPr>
          <w:p w14:paraId="4F293DD8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Translanguaging, multilingual artefacts, home-language activities, or parent-supported literacy did not automatically guarantee equitable language inclusion.</w:t>
            </w:r>
          </w:p>
        </w:tc>
        <w:tc>
          <w:tcPr>
            <w:tcW w:w="3573" w:type="dxa"/>
          </w:tcPr>
          <w:p w14:paraId="7C366533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Classroom/pedagogical practice; classroom interaction; educator implementation; family/centre level.</w:t>
            </w:r>
          </w:p>
        </w:tc>
        <w:tc>
          <w:tcPr>
            <w:tcW w:w="3444" w:type="dxa"/>
          </w:tcPr>
          <w:p w14:paraId="4DD55EA5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Becker &amp; Knoll (2022); Lundberg et al. (2023); Lilja et al. (2025)</w:t>
            </w:r>
          </w:p>
        </w:tc>
      </w:tr>
      <w:tr w:rsidR="006E4393" w:rsidRPr="00DF5469" w14:paraId="70E92FB3" w14:textId="77777777" w:rsidTr="00DF5469">
        <w:trPr>
          <w:jc w:val="center"/>
        </w:trPr>
        <w:tc>
          <w:tcPr>
            <w:tcW w:w="3459" w:type="dxa"/>
            <w:tcBorders>
              <w:bottom w:val="single" w:sz="4" w:space="0" w:color="auto"/>
            </w:tcBorders>
          </w:tcPr>
          <w:p w14:paraId="52E5E46D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Structural, contextual, and methodological constraints</w:t>
            </w: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14:paraId="58791C29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Awareness, attitudes, identity, and inclusion were harder to evaluate with conventional measures and were often documented through qualitative or perception-based evidence.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14:paraId="393A46AF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Classroom observations, interviews, interactional data, pupil/teacher/parent perceptions, programme-level reporting.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14:paraId="0BB66FBC" w14:textId="77777777" w:rsidR="006E4393" w:rsidRPr="00DF5469" w:rsidRDefault="006E4393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Gkaintartzi &amp; Katsara (2024); Laursen &amp; Daugaard (2025); Žefran et al. (2025)</w:t>
            </w:r>
          </w:p>
        </w:tc>
      </w:tr>
    </w:tbl>
    <w:p w14:paraId="738E9EE4" w14:textId="75DD4FCB" w:rsidR="00331A6E" w:rsidRDefault="00331A6E">
      <w:pPr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2"/>
        <w:gridCol w:w="2304"/>
        <w:gridCol w:w="2197"/>
        <w:gridCol w:w="2136"/>
        <w:gridCol w:w="2813"/>
        <w:gridCol w:w="2336"/>
      </w:tblGrid>
      <w:tr w:rsidR="00331A6E" w:rsidRPr="00DF5469" w14:paraId="2F5D3EE7" w14:textId="77777777" w:rsidTr="00DF5469">
        <w:trPr>
          <w:tblHeader/>
          <w:jc w:val="center"/>
        </w:trPr>
        <w:tc>
          <w:tcPr>
            <w:tcW w:w="139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08723" w14:textId="4EB5BF16" w:rsidR="00331A6E" w:rsidRPr="00DF5469" w:rsidRDefault="00331A6E" w:rsidP="00E40193">
            <w:pPr>
              <w:rPr>
                <w:rFonts w:ascii="Aptos" w:eastAsia="Aptos" w:hAnsi="Aptos"/>
                <w:b/>
                <w:sz w:val="16"/>
                <w:szCs w:val="16"/>
                <w:lang w:val="en-US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lastRenderedPageBreak/>
              <w:t>Table A11</w:t>
            </w:r>
            <w:r w:rsid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t xml:space="preserve"> </w:t>
            </w:r>
            <w:r w:rsidRPr="00DF5469">
              <w:rPr>
                <w:rFonts w:ascii="Aptos" w:eastAsia="Aptos" w:hAnsi="Aptos"/>
                <w:bCs/>
                <w:sz w:val="16"/>
                <w:szCs w:val="16"/>
                <w:lang w:val="en-US"/>
              </w:rPr>
              <w:t xml:space="preserve"> Study-level matrix linking RQ1, RQ2, RQ3 category, challenges category, and reporting level</w:t>
            </w:r>
          </w:p>
        </w:tc>
      </w:tr>
      <w:tr w:rsidR="00331A6E" w:rsidRPr="00DF5469" w14:paraId="7B69CAA3" w14:textId="77777777" w:rsidTr="00DF5469">
        <w:trPr>
          <w:tblHeader/>
          <w:jc w:val="center"/>
        </w:trPr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DCDFF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Study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47DB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RQ1 orientation / competence focus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7934C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RQ2 practice type(s)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A9ED5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Table 6 benefit category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9C0B2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Main challenge category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48C5F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Reporting level</w:t>
            </w:r>
          </w:p>
        </w:tc>
      </w:tr>
      <w:tr w:rsidR="00331A6E" w:rsidRPr="00DF5469" w14:paraId="5BF6D38B" w14:textId="77777777" w:rsidTr="00DF5469">
        <w:trPr>
          <w:jc w:val="center"/>
        </w:trPr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FBCE9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Becker &amp; Knoll (2022)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F0D7D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Translanguaging, code-switching, language hierarchies/ideologies; awareness, participation, language use.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53BE5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Bilingual daycare language practices in German-English institutional contexts.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77E9C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 / attitudinal gains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0E5EA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Monolingual ideology / limited home-language inclusion.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1012D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Classroom / pedagogy.</w:t>
            </w:r>
          </w:p>
        </w:tc>
      </w:tr>
      <w:tr w:rsidR="00331A6E" w:rsidRPr="00DF5469" w14:paraId="3C5DCFDF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271E5E2E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Engel de Abreu et al. (2025)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530FC6A7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Heritage-language oral-language and early-literacy intervention; additive bilingualism; cross-language transfer.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1F44DA7F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Structured Portuguese heritage-language oral-language intervention.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2F7F0E35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Additive bilingualism / cross-linguistic transfer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850D973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Limited / uneven effects: no significant gains in German outcomes.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10B2F49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outcomes.</w:t>
            </w:r>
          </w:p>
        </w:tc>
      </w:tr>
      <w:tr w:rsidR="00331A6E" w:rsidRPr="00DF5469" w14:paraId="49A42C79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75FC6C62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Geiger-Jaillet &amp; Schlemminger (2023)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6FD6EBA7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Translanguaging practices in immersion-based pedagogy; participation and meaning-making.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231B4FD8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Translanguaging interaction, storytelling, games, immersion activities.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69D2D3C7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Engagement / inclusion gains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8136FFA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Implementation / feasibility: peer L2/L3 use limited and teacher-mediated.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7CBBBF3B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Classroom interaction / pedagogy.</w:t>
            </w:r>
          </w:p>
        </w:tc>
      </w:tr>
      <w:tr w:rsidR="00331A6E" w:rsidRPr="00DF5469" w14:paraId="7C2AD9B6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3A4B097B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Gkaintartzi &amp; Katsara (2024)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6BB78042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Awakening to Languages; language awareness; pluralistic approaches; intercultural awareness/attitudes.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79C0563D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comparison; multilingual songs, greetings, scripts and creative activities.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62B96283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 / attitudinal gains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7D051B45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Structural/contextual constraints: unfamiliar scripts and invisibility of multilingualism.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7F4248C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/ contextual / pedagogical.</w:t>
            </w:r>
          </w:p>
        </w:tc>
      </w:tr>
      <w:tr w:rsidR="00331A6E" w:rsidRPr="00DF5469" w14:paraId="3EEA8EB0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12EF0691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Incognito et al. (2021)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76DBAE6E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Emergent literacy; notational knowledge; embedded-explicit instruction.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64BFB648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PASSI sound-sign integration intervention.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29C0DFF8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/ literacy gains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75CF193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Limited / uneven effects: gains centred on notational knowledge rather than phonological competence.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73AC955A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outcomes.</w:t>
            </w:r>
          </w:p>
        </w:tc>
      </w:tr>
      <w:tr w:rsidR="00331A6E" w:rsidRPr="00DF5469" w14:paraId="2D7AFBE2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4770CC7B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Kirsch &amp; Bergeron-Morin (2023)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4D615CA8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Sociocultural and ecological learning; translanguaging; communities of practice; home-ECEC collaboration.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2B2C67EF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Shared/dialogic reading; parent-supported multilingual literacy; home-ECEC collaboration.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619BF990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Engagement / inclusion gains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7C1FCED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Implementation / feasibility: parent involvement varied and was hard to sustain.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2810F45A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+ parent/family + centre.</w:t>
            </w:r>
          </w:p>
        </w:tc>
      </w:tr>
      <w:tr w:rsidR="00331A6E" w:rsidRPr="00DF5469" w14:paraId="73379426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621DE91D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Laursen &amp; Daugaard (2025)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3084D979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Affect, space, symbolic language, and metalanguaging; awareness and print engagement.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7397CBEC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Multilingual artefacts; home-written words; group conversation around scripts/signs.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21771C31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 / attitudinal gains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7181363A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Mixed/minimal challenge reporting; affordances foregrounded more than barriers.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50A3247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+ classroom interaction.</w:t>
            </w:r>
          </w:p>
        </w:tc>
      </w:tr>
      <w:tr w:rsidR="00331A6E" w:rsidRPr="00DF5469" w14:paraId="00633B65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363B652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Lilja et al. (2025)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1FA439A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Narrative instruction; usage-based and socio-cognitive perspectives; implementation science.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7A445CC8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Explicit and implicit narrative instruction; shared reading and structured narrative work.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2BA86FCD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Engagement / inclusion gains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77D5CAC9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Implementation / feasibility: declining fidelity, rigidity, uncertainty in multilingual use, limited translanguaging.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5FD16D84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Educator / implementation + pupil.</w:t>
            </w:r>
          </w:p>
        </w:tc>
      </w:tr>
      <w:tr w:rsidR="00331A6E" w:rsidRPr="00DF5469" w14:paraId="41786ACF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79EA4E61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Lundberg et al. (2023)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2CCDE464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Translanguaging and Bernstein’s competence model; agency and identity.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71BF89A5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Everyday translanguaging pedagogy; educators inviting children’s linguistic expertise.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5C107D6B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Engagement / inclusion gains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7FA8631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Monolingual ideology / limited home-language inclusion: tension between Swedish and multilingualism.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79EE2E70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Classroom / pedagogical practice.</w:t>
            </w:r>
          </w:p>
        </w:tc>
      </w:tr>
      <w:tr w:rsidR="00331A6E" w:rsidRPr="00DF5469" w14:paraId="465E7716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6653C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Rendón-Romero et al. (2021)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68710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Phonics, phonological awareness, biliteracy and early reading-related skills.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8499B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Phonics-based instruction using Jolly Phonics.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C7C2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/ literacy gains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3AA87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Mixed/minimal challenge reporting; broader multilingual competences less central.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1D17E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outcomes.</w:t>
            </w:r>
          </w:p>
        </w:tc>
      </w:tr>
      <w:tr w:rsidR="00331A6E" w:rsidRPr="00DF5469" w14:paraId="3AAB9D49" w14:textId="77777777" w:rsidTr="00DF5469">
        <w:trPr>
          <w:jc w:val="center"/>
        </w:trPr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B5632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lastRenderedPageBreak/>
              <w:t>Sundström et al. (2024)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6866C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Vocabulary intervention and word-learning perspective.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F90EE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Small-group shared book reading combined with Lexicon Pirate method.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8076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/ literacy gains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0C78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Limited / uneven effects: no effects on semantic fluency or semantic relations.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30FA2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outcomes + implementation/context.</w:t>
            </w:r>
          </w:p>
        </w:tc>
      </w:tr>
      <w:tr w:rsidR="00331A6E" w:rsidRPr="00DF5469" w14:paraId="4C5CA348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64BDC56C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Uhl et al. (2023)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5F4B9A2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Instructed SLA, Processability Theory and CLIL; productive L2 French grammar.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72657C71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CLIL and regular French programme comparison.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3A63F6AF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/ literacy gains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7FB6653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Limited / uneven effects: regular programme outperformed bilingual/CLIL at this stage.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72915451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outcomes / programme level.</w:t>
            </w:r>
          </w:p>
        </w:tc>
      </w:tr>
      <w:tr w:rsidR="00331A6E" w:rsidRPr="00DF5469" w14:paraId="4B987F6E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18F0E4BD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Verhagen et al. (2024)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6C83E97E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Exposure-based bilingual development; bilingual ECEC models.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1BA187E1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Dutch-English bilingual ECEC exposure.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1EE67504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Additive bilingualism / cross-linguistic transfer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A23EFBA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Mixed/limited challenge: Dutch growth showed no clear added effect from extra Dutch exposure.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1FB05ACF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outcomes.</w:t>
            </w:r>
          </w:p>
        </w:tc>
      </w:tr>
      <w:tr w:rsidR="00331A6E" w:rsidRPr="00DF5469" w14:paraId="302E1F76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345D7CB3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Voltmer et al. (2021)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01859B6C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support strategies; Vygotskian social interactionism; teacher-led language support.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7DA84124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FTT teacher training; language support in everyday conversations.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3AD80A2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/ literacy gains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D0A33CB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Limited / uneven effects and implementation demands: some measures unaffected; large-group implementation demanding.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5B719A02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outcomes + education intervention.</w:t>
            </w:r>
          </w:p>
        </w:tc>
      </w:tr>
      <w:tr w:rsidR="00331A6E" w:rsidRPr="00DF5469" w14:paraId="0C5C3CCD" w14:textId="77777777" w:rsidTr="00DF5469">
        <w:trPr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7479B872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Žefran et al. (2025)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7CA5F1A9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Pluralistic approaches; FREPA; multilingual kindergarten model; language awareness and cultural curiosity.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0534D12A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Multilingual Kindergarten Model; age-appropriate language-awareness activities.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5648F9F8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 / attitudinal gains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8AA8466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Structural/contextual/methodological constraints: relied mainly on participant perceptions.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50A606B5" w14:textId="77777777" w:rsidR="00331A6E" w:rsidRPr="00DF5469" w:rsidRDefault="00331A6E" w:rsidP="00E40193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+ teacher + parent outcomes / programme.</w:t>
            </w:r>
          </w:p>
        </w:tc>
      </w:tr>
    </w:tbl>
    <w:p w14:paraId="797E1AF6" w14:textId="65B486B4" w:rsidR="008B4289" w:rsidRDefault="008B4289" w:rsidP="00E40193">
      <w:pPr>
        <w:spacing w:line="240" w:lineRule="auto"/>
        <w:rPr>
          <w:lang w:val="en-US"/>
        </w:rPr>
      </w:pPr>
    </w:p>
    <w:p w14:paraId="59A094EF" w14:textId="77777777" w:rsidR="008B4289" w:rsidRDefault="008B4289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9"/>
        <w:gridCol w:w="2363"/>
        <w:gridCol w:w="2352"/>
        <w:gridCol w:w="2451"/>
        <w:gridCol w:w="2266"/>
        <w:gridCol w:w="2257"/>
      </w:tblGrid>
      <w:tr w:rsidR="008B4289" w:rsidRPr="00DF5469" w14:paraId="6FFE0FE3" w14:textId="77777777" w:rsidTr="00DF5469">
        <w:trPr>
          <w:tblHeader/>
          <w:jc w:val="center"/>
        </w:trPr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p w14:paraId="7A24C748" w14:textId="7A455DAF" w:rsidR="008B4289" w:rsidRPr="00DF5469" w:rsidRDefault="008B4289" w:rsidP="008B4289">
            <w:pPr>
              <w:rPr>
                <w:rFonts w:ascii="Aptos" w:eastAsia="Aptos" w:hAnsi="Aptos"/>
                <w:b/>
                <w:sz w:val="16"/>
                <w:szCs w:val="16"/>
                <w:lang w:val="en-US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lastRenderedPageBreak/>
              <w:t>Table A12</w:t>
            </w:r>
            <w:r w:rsid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t xml:space="preserve"> </w:t>
            </w:r>
            <w:r w:rsidRPr="00DF5469">
              <w:rPr>
                <w:rFonts w:ascii="Aptos" w:eastAsia="Aptos" w:hAnsi="Aptos"/>
                <w:bCs/>
                <w:sz w:val="16"/>
                <w:szCs w:val="16"/>
                <w:lang w:val="en-US"/>
              </w:rPr>
              <w:t xml:space="preserve"> Practice format as a mediator of reported benefits, challenges and reporting level.</w:t>
            </w:r>
            <w:r w:rsidRPr="00DF5469">
              <w:rPr>
                <w:rFonts w:ascii="Aptos" w:eastAsia="Aptos" w:hAnsi="Aptos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8B4289" w:rsidRPr="00DF5469" w14:paraId="23DD09F4" w14:textId="77777777" w:rsidTr="00DF5469">
        <w:trPr>
          <w:tblHeader/>
          <w:jc w:val="center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007E8419" w14:textId="77777777" w:rsidR="008B4289" w:rsidRPr="00DF5469" w:rsidRDefault="008B4289" w:rsidP="00DF5469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RQ2 practice / format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14:paraId="109E5C72" w14:textId="77777777" w:rsidR="008B4289" w:rsidRPr="00DF5469" w:rsidRDefault="008B4289" w:rsidP="00DF5469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Typical pedagogical function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264D3F15" w14:textId="77777777" w:rsidR="008B4289" w:rsidRPr="00DF5469" w:rsidRDefault="008B4289" w:rsidP="00DF5469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Benefit categories most closely linked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4" w:space="0" w:color="auto"/>
            </w:tcBorders>
          </w:tcPr>
          <w:p w14:paraId="7C79DA69" w14:textId="77777777" w:rsidR="008B4289" w:rsidRPr="00DF5469" w:rsidRDefault="008B4289" w:rsidP="00DF5469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Reporting level(s)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69BCE52A" w14:textId="77777777" w:rsidR="008B4289" w:rsidRPr="00DF5469" w:rsidRDefault="008B4289" w:rsidP="00DF5469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Main challenges / cautions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EB07DF6" w14:textId="77777777" w:rsidR="008B4289" w:rsidRPr="00DF5469" w:rsidRDefault="008B4289" w:rsidP="00DF5469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b/>
                <w:sz w:val="16"/>
                <w:szCs w:val="16"/>
              </w:rPr>
              <w:t>Representative studies</w:t>
            </w:r>
          </w:p>
        </w:tc>
      </w:tr>
      <w:tr w:rsidR="008B4289" w:rsidRPr="00DF5469" w14:paraId="66E1625F" w14:textId="77777777" w:rsidTr="00DF5469">
        <w:trPr>
          <w:jc w:val="center"/>
        </w:trPr>
        <w:tc>
          <w:tcPr>
            <w:tcW w:w="2259" w:type="dxa"/>
            <w:tcBorders>
              <w:top w:val="single" w:sz="4" w:space="0" w:color="auto"/>
            </w:tcBorders>
          </w:tcPr>
          <w:p w14:paraId="71D3A955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Small-group targeted intervention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60141DF5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Focused support, adult-child interaction, responsive scaffolding and individualized participation.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7ECE3869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Language/literacy gains; additive bilingualism/cross-linguistic transfer; engagement/inclusion in narrative work.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14:paraId="48571060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Mostly pupil outcomes; sometimes educator/implementation + pupil.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4F1C1302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Requires staffing, time, fidelity and teacher preparation; may be difficult to scale.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03120F4B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  <w:lang w:val="nl-NL"/>
              </w:rPr>
              <w:t xml:space="preserve">Engel de Abreu et al. (2025); Lilja et al. (2025); Sundström et al. </w:t>
            </w:r>
            <w:r w:rsidRPr="00DF5469">
              <w:rPr>
                <w:rFonts w:ascii="Aptos" w:eastAsia="Aptos" w:hAnsi="Aptos"/>
                <w:sz w:val="16"/>
                <w:szCs w:val="16"/>
              </w:rPr>
              <w:t>(2024)</w:t>
            </w:r>
          </w:p>
        </w:tc>
      </w:tr>
      <w:tr w:rsidR="008B4289" w:rsidRPr="00DF5469" w14:paraId="6E7D34FB" w14:textId="77777777" w:rsidTr="00DF5469">
        <w:trPr>
          <w:jc w:val="center"/>
        </w:trPr>
        <w:tc>
          <w:tcPr>
            <w:tcW w:w="2259" w:type="dxa"/>
          </w:tcPr>
          <w:p w14:paraId="6F87C435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Whole-class multilingual or exposure-based activities</w:t>
            </w:r>
          </w:p>
        </w:tc>
        <w:tc>
          <w:tcPr>
            <w:tcW w:w="2363" w:type="dxa"/>
          </w:tcPr>
          <w:p w14:paraId="467F1319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Broad exposure, shared participation, classroom-level awareness and collective engagement.</w:t>
            </w:r>
          </w:p>
        </w:tc>
        <w:tc>
          <w:tcPr>
            <w:tcW w:w="2352" w:type="dxa"/>
          </w:tcPr>
          <w:p w14:paraId="140C8B03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Awareness/attitudinal gains; language/literacy gains; additive bilingualism/exposure-related outcomes.</w:t>
            </w:r>
          </w:p>
        </w:tc>
        <w:tc>
          <w:tcPr>
            <w:tcW w:w="2451" w:type="dxa"/>
          </w:tcPr>
          <w:p w14:paraId="403DBF44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outcomes; classroom/pedagogical practice; programme-level reporting.</w:t>
            </w:r>
          </w:p>
        </w:tc>
        <w:tc>
          <w:tcPr>
            <w:tcW w:w="2266" w:type="dxa"/>
          </w:tcPr>
          <w:p w14:paraId="1BDF70FE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Less individualized scaffolding; individual effects may be harder to detect.</w:t>
            </w:r>
          </w:p>
        </w:tc>
        <w:tc>
          <w:tcPr>
            <w:tcW w:w="2257" w:type="dxa"/>
          </w:tcPr>
          <w:p w14:paraId="65FE7938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  <w:lang w:val="it-IT"/>
              </w:rPr>
              <w:t xml:space="preserve">Gkaintartzi &amp; Katsara (2024); Rendón-Romero et al. </w:t>
            </w:r>
            <w:r w:rsidRPr="00DF5469">
              <w:rPr>
                <w:rFonts w:ascii="Aptos" w:eastAsia="Aptos" w:hAnsi="Aptos"/>
                <w:sz w:val="16"/>
                <w:szCs w:val="16"/>
              </w:rPr>
              <w:t>(2021); Uhl et al. (2023); Verhagen et al. (2024); Žefran et al. (2025)</w:t>
            </w:r>
          </w:p>
        </w:tc>
      </w:tr>
      <w:tr w:rsidR="008B4289" w:rsidRPr="00DF5469" w14:paraId="4E1779C8" w14:textId="77777777" w:rsidTr="00DF5469">
        <w:trPr>
          <w:jc w:val="center"/>
        </w:trPr>
        <w:tc>
          <w:tcPr>
            <w:tcW w:w="2259" w:type="dxa"/>
          </w:tcPr>
          <w:p w14:paraId="546660A4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Shared/dialogic reading, storytelling and narrative work</w:t>
            </w:r>
          </w:p>
        </w:tc>
        <w:tc>
          <w:tcPr>
            <w:tcW w:w="2363" w:type="dxa"/>
          </w:tcPr>
          <w:p w14:paraId="76965D4D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Meaning-making through books, narratives, adult questioning, interaction and multimodal support.</w:t>
            </w:r>
          </w:p>
        </w:tc>
        <w:tc>
          <w:tcPr>
            <w:tcW w:w="2352" w:type="dxa"/>
          </w:tcPr>
          <w:p w14:paraId="01863821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Language/literacy gains; engagement/inclusion gains; home-language validation where parents/families are involved.</w:t>
            </w:r>
          </w:p>
        </w:tc>
        <w:tc>
          <w:tcPr>
            <w:tcW w:w="2451" w:type="dxa"/>
          </w:tcPr>
          <w:p w14:paraId="152405DC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outcomes; classroom interaction; parent/family + centre; educator implementation.</w:t>
            </w:r>
          </w:p>
        </w:tc>
        <w:tc>
          <w:tcPr>
            <w:tcW w:w="2266" w:type="dxa"/>
          </w:tcPr>
          <w:p w14:paraId="2201816C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Quality depends on interactional strategies, language choices, adult confidence and sustained implementation.</w:t>
            </w:r>
          </w:p>
        </w:tc>
        <w:tc>
          <w:tcPr>
            <w:tcW w:w="2257" w:type="dxa"/>
          </w:tcPr>
          <w:p w14:paraId="2ECEC991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  <w:lang w:val="nl-NL"/>
              </w:rPr>
              <w:t xml:space="preserve">Kirsch &amp; Bergeron-Morin (2023); Lilja et al. (2025); Sundström et al. (2024); Voltmer et al. </w:t>
            </w:r>
            <w:r w:rsidRPr="00DF5469">
              <w:rPr>
                <w:rFonts w:ascii="Aptos" w:eastAsia="Aptos" w:hAnsi="Aptos"/>
                <w:sz w:val="16"/>
                <w:szCs w:val="16"/>
              </w:rPr>
              <w:t>(2021)</w:t>
            </w:r>
          </w:p>
        </w:tc>
      </w:tr>
      <w:tr w:rsidR="008B4289" w:rsidRPr="00DF5469" w14:paraId="3548A05D" w14:textId="77777777" w:rsidTr="00DF5469">
        <w:trPr>
          <w:jc w:val="center"/>
        </w:trPr>
        <w:tc>
          <w:tcPr>
            <w:tcW w:w="2259" w:type="dxa"/>
          </w:tcPr>
          <w:p w14:paraId="75A7D564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Translanguaging interaction and multilingual meaning-making</w:t>
            </w:r>
          </w:p>
        </w:tc>
        <w:tc>
          <w:tcPr>
            <w:tcW w:w="2363" w:type="dxa"/>
          </w:tcPr>
          <w:p w14:paraId="42B25CDB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Use of children’s linguistic repertoires for communication, participation and identity expression.</w:t>
            </w:r>
          </w:p>
        </w:tc>
        <w:tc>
          <w:tcPr>
            <w:tcW w:w="2352" w:type="dxa"/>
          </w:tcPr>
          <w:p w14:paraId="4FA11D64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Engagement/inclusion gains; awareness/attitudinal gains.</w:t>
            </w:r>
          </w:p>
        </w:tc>
        <w:tc>
          <w:tcPr>
            <w:tcW w:w="2451" w:type="dxa"/>
          </w:tcPr>
          <w:p w14:paraId="72F16B61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Classroom interaction / pedagogy; classroom / pedagogical practice; educator implementation.</w:t>
            </w:r>
          </w:p>
        </w:tc>
        <w:tc>
          <w:tcPr>
            <w:tcW w:w="2266" w:type="dxa"/>
          </w:tcPr>
          <w:p w14:paraId="32B15137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Can be constrained by monolingual norms, teacher insecurity and unequal status of languages.</w:t>
            </w:r>
          </w:p>
        </w:tc>
        <w:tc>
          <w:tcPr>
            <w:tcW w:w="2257" w:type="dxa"/>
          </w:tcPr>
          <w:p w14:paraId="578570E3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Becker &amp; Knoll (2022); Geiger-Jaillet &amp; Schlemminger (2023); Lundberg et al. (2023)</w:t>
            </w:r>
          </w:p>
        </w:tc>
      </w:tr>
      <w:tr w:rsidR="008B4289" w:rsidRPr="00DF5469" w14:paraId="6B8FB645" w14:textId="77777777" w:rsidTr="00DF5469">
        <w:trPr>
          <w:jc w:val="center"/>
        </w:trPr>
        <w:tc>
          <w:tcPr>
            <w:tcW w:w="2259" w:type="dxa"/>
          </w:tcPr>
          <w:p w14:paraId="3E3CD8D7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Language comparison and multilingual artefacts</w:t>
            </w:r>
          </w:p>
        </w:tc>
        <w:tc>
          <w:tcPr>
            <w:tcW w:w="2363" w:type="dxa"/>
          </w:tcPr>
          <w:p w14:paraId="3F578DC4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Attention to scripts, signs, words, greetings, songs and cross-linguistic similarities/differences.</w:t>
            </w:r>
          </w:p>
        </w:tc>
        <w:tc>
          <w:tcPr>
            <w:tcW w:w="2352" w:type="dxa"/>
          </w:tcPr>
          <w:p w14:paraId="1CE673FE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Awareness/attitudinal gains.</w:t>
            </w:r>
          </w:p>
        </w:tc>
        <w:tc>
          <w:tcPr>
            <w:tcW w:w="2451" w:type="dxa"/>
          </w:tcPr>
          <w:p w14:paraId="4FFC9E4E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Classroom interaction; pupil/contextual/pedagogical; pupil/teacher/parent programme perceptions.</w:t>
            </w:r>
          </w:p>
        </w:tc>
        <w:tc>
          <w:tcPr>
            <w:tcW w:w="2266" w:type="dxa"/>
          </w:tcPr>
          <w:p w14:paraId="2951F7AB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Long-term outcomes and transfer are difficult to measure; activities may remain project-based unless embedded.</w:t>
            </w:r>
          </w:p>
        </w:tc>
        <w:tc>
          <w:tcPr>
            <w:tcW w:w="2257" w:type="dxa"/>
          </w:tcPr>
          <w:p w14:paraId="48973316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Gkaintartzi &amp; Katsara (2024); Laursen &amp; Daugaard (2025); Žefran et al. (2025)</w:t>
            </w:r>
          </w:p>
        </w:tc>
      </w:tr>
      <w:tr w:rsidR="008B4289" w:rsidRPr="00DF5469" w14:paraId="70CD404F" w14:textId="77777777" w:rsidTr="00DF5469">
        <w:trPr>
          <w:jc w:val="center"/>
        </w:trPr>
        <w:tc>
          <w:tcPr>
            <w:tcW w:w="2259" w:type="dxa"/>
            <w:tcBorders>
              <w:bottom w:val="single" w:sz="4" w:space="0" w:color="auto"/>
            </w:tcBorders>
          </w:tcPr>
          <w:p w14:paraId="035068C2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Parent-supported literacy activity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3ECF9F56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Bridging home and ECEC; bringing home languages into literacy events.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3E207D50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Engagement/inclusion gains; home-language validation; awareness/attitudinal gains where language diversity becomes visible.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7F743316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Pupil + parent/family + centre.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27D8C8B5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Parent roles may be unequal or marginal; collaboration requires careful facilitation and shared purpose.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42988904" w14:textId="77777777" w:rsidR="008B4289" w:rsidRPr="00DF5469" w:rsidRDefault="008B4289" w:rsidP="00C82AD7">
            <w:pPr>
              <w:rPr>
                <w:sz w:val="16"/>
                <w:szCs w:val="16"/>
              </w:rPr>
            </w:pPr>
            <w:r w:rsidRPr="00DF5469">
              <w:rPr>
                <w:rFonts w:ascii="Aptos" w:eastAsia="Aptos" w:hAnsi="Aptos"/>
                <w:sz w:val="16"/>
                <w:szCs w:val="16"/>
              </w:rPr>
              <w:t>Kirsch &amp; Bergeron-Morin (2023)</w:t>
            </w:r>
          </w:p>
        </w:tc>
      </w:tr>
    </w:tbl>
    <w:p w14:paraId="60E253C5" w14:textId="77777777" w:rsidR="006E4393" w:rsidRPr="00916B7F" w:rsidRDefault="006E4393">
      <w:pPr>
        <w:rPr>
          <w:lang w:val="en-US"/>
        </w:rPr>
      </w:pPr>
    </w:p>
    <w:sectPr w:rsidR="006E4393" w:rsidRPr="00916B7F" w:rsidSect="005349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7F"/>
    <w:rsid w:val="000B4A43"/>
    <w:rsid w:val="00147486"/>
    <w:rsid w:val="001B3F31"/>
    <w:rsid w:val="00331A6E"/>
    <w:rsid w:val="004D44E1"/>
    <w:rsid w:val="004F148E"/>
    <w:rsid w:val="005349BE"/>
    <w:rsid w:val="005F1ECD"/>
    <w:rsid w:val="00665134"/>
    <w:rsid w:val="006E4393"/>
    <w:rsid w:val="00714BDC"/>
    <w:rsid w:val="008B4289"/>
    <w:rsid w:val="008C740D"/>
    <w:rsid w:val="008D0CCB"/>
    <w:rsid w:val="00916B7F"/>
    <w:rsid w:val="00921DD8"/>
    <w:rsid w:val="009E4294"/>
    <w:rsid w:val="00A00DA3"/>
    <w:rsid w:val="00A456D7"/>
    <w:rsid w:val="00B1689A"/>
    <w:rsid w:val="00B50429"/>
    <w:rsid w:val="00B926B4"/>
    <w:rsid w:val="00C8282B"/>
    <w:rsid w:val="00CE0488"/>
    <w:rsid w:val="00CE1A9E"/>
    <w:rsid w:val="00D83D76"/>
    <w:rsid w:val="00DF5469"/>
    <w:rsid w:val="00E06DD9"/>
    <w:rsid w:val="00E40193"/>
    <w:rsid w:val="00EA3E8B"/>
    <w:rsid w:val="00F61B93"/>
    <w:rsid w:val="00F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55481"/>
  <w15:chartTrackingRefBased/>
  <w15:docId w15:val="{D66DF0E4-718E-4663-AED7-14663C73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B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B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B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B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B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B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4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5930</Words>
  <Characters>33802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Rallou Thoma</dc:creator>
  <cp:keywords/>
  <dc:description/>
  <cp:lastModifiedBy>Rallou Thoma</cp:lastModifiedBy>
  <cp:revision>22</cp:revision>
  <dcterms:created xsi:type="dcterms:W3CDTF">2026-06-30T16:13:00Z</dcterms:created>
  <dcterms:modified xsi:type="dcterms:W3CDTF">2026-07-02T15:53:00Z</dcterms:modified>
</cp:coreProperties>
</file>