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5065" w14:textId="77777777" w:rsidR="00637C40" w:rsidRDefault="00000000">
      <w:pPr>
        <w:spacing w:after="60"/>
      </w:pPr>
      <w:r>
        <w:rPr>
          <w:b/>
          <w:bCs/>
          <w:sz w:val="30"/>
          <w:szCs w:val="30"/>
        </w:rPr>
        <w:t>Reporting Checklists</w:t>
      </w:r>
    </w:p>
    <w:p w14:paraId="34005122" w14:textId="6DD33BAE" w:rsidR="00637C40" w:rsidRPr="00F856E3" w:rsidRDefault="00000000">
      <w:pPr>
        <w:pStyle w:val="Heading1"/>
        <w:rPr>
          <w:color w:val="auto"/>
        </w:rPr>
      </w:pPr>
      <w:r>
        <w:rPr>
          <w:color w:val="auto"/>
        </w:rPr>
        <w:t xml:space="preserve">Part 1 </w:t>
      </w:r>
      <w:r w:rsidR="00F113CF">
        <w:rPr>
          <w:color w:val="auto"/>
        </w:rPr>
        <w:t>-</w:t>
      </w:r>
      <w:r>
        <w:rPr>
          <w:color w:val="auto"/>
        </w:rPr>
        <w:t xml:space="preserve"> STROBE Checklist (cross-sectional design)</w:t>
      </w:r>
    </w:p>
    <w:p w14:paraId="0B354651" w14:textId="77777777" w:rsidR="00637C40" w:rsidRDefault="00000000">
      <w:pPr>
        <w:spacing w:after="160" w:line="250" w:lineRule="auto"/>
      </w:pPr>
      <w:r>
        <w:rPr>
          <w:i/>
          <w:iCs/>
        </w:rPr>
        <w:t>STROBE Statement – checklist of items that should be addressed in reports of observational studies. The cross-sectional column is applied, treating the five conversational AI platforms as the treatment and the twenty-four vignettes as blocks. Item numbering follows the STROBE v4 combined checklist.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760"/>
        <w:gridCol w:w="3400"/>
        <w:gridCol w:w="1010"/>
        <w:gridCol w:w="4190"/>
      </w:tblGrid>
      <w:tr w:rsidR="00637C40" w14:paraId="2F5C57E5" w14:textId="77777777" w:rsidTr="00F856E3">
        <w:tc>
          <w:tcPr>
            <w:tcW w:w="760" w:type="dxa"/>
          </w:tcPr>
          <w:p w14:paraId="15D75769" w14:textId="77777777" w:rsidR="00637C40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Item</w:t>
            </w:r>
          </w:p>
        </w:tc>
        <w:tc>
          <w:tcPr>
            <w:tcW w:w="3400" w:type="dxa"/>
          </w:tcPr>
          <w:p w14:paraId="014123A7" w14:textId="77777777" w:rsidR="00637C40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Recommendation</w:t>
            </w:r>
          </w:p>
        </w:tc>
        <w:tc>
          <w:tcPr>
            <w:tcW w:w="1010" w:type="dxa"/>
          </w:tcPr>
          <w:p w14:paraId="3B015C3D" w14:textId="77777777" w:rsidR="00637C40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Reported</w:t>
            </w:r>
          </w:p>
        </w:tc>
        <w:tc>
          <w:tcPr>
            <w:tcW w:w="4190" w:type="dxa"/>
          </w:tcPr>
          <w:p w14:paraId="3E3C6E32" w14:textId="77777777" w:rsidR="00637C40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Location in manuscript / Comment</w:t>
            </w:r>
          </w:p>
        </w:tc>
      </w:tr>
      <w:tr w:rsidR="00637C40" w14:paraId="3EF2223A" w14:textId="77777777" w:rsidTr="00F856E3">
        <w:tc>
          <w:tcPr>
            <w:tcW w:w="9360" w:type="dxa"/>
            <w:gridSpan w:val="4"/>
          </w:tcPr>
          <w:p w14:paraId="04A4BCF8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Title and abstract</w:t>
            </w:r>
          </w:p>
        </w:tc>
      </w:tr>
      <w:tr w:rsidR="00637C40" w14:paraId="162A0C57" w14:textId="77777777" w:rsidTr="00F856E3">
        <w:tc>
          <w:tcPr>
            <w:tcW w:w="760" w:type="dxa"/>
          </w:tcPr>
          <w:p w14:paraId="6A17E46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 (a)</w:t>
            </w:r>
          </w:p>
        </w:tc>
        <w:tc>
          <w:tcPr>
            <w:tcW w:w="3400" w:type="dxa"/>
          </w:tcPr>
          <w:p w14:paraId="31A1713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Indicate the study's design with a commonly used term in the title or the abstract.</w:t>
            </w:r>
          </w:p>
        </w:tc>
        <w:tc>
          <w:tcPr>
            <w:tcW w:w="1010" w:type="dxa"/>
          </w:tcPr>
          <w:p w14:paraId="19816795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146F8AB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Title (“A Blinded, Expert-Rated Comparison”); Abstract – Methods; Section 2.1 (“prospective, in-silico, blinded, vignette-based benchmarking study”).</w:t>
            </w:r>
          </w:p>
        </w:tc>
      </w:tr>
      <w:tr w:rsidR="00637C40" w14:paraId="1673DB1F" w14:textId="77777777" w:rsidTr="00F856E3">
        <w:tc>
          <w:tcPr>
            <w:tcW w:w="760" w:type="dxa"/>
          </w:tcPr>
          <w:p w14:paraId="6628285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 (b)</w:t>
            </w:r>
          </w:p>
        </w:tc>
        <w:tc>
          <w:tcPr>
            <w:tcW w:w="3400" w:type="dxa"/>
          </w:tcPr>
          <w:p w14:paraId="2DA171EB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Provide in the abstract an informative and balanced summary of what was done and what was found.</w:t>
            </w:r>
          </w:p>
        </w:tc>
        <w:tc>
          <w:tcPr>
            <w:tcW w:w="1010" w:type="dxa"/>
          </w:tcPr>
          <w:p w14:paraId="259C210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1AD0A5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Structured Abstract (Purpose, Methods, Results, Conclusion), including the rejected null hypothesis and the non-significant hallucination result.</w:t>
            </w:r>
          </w:p>
        </w:tc>
      </w:tr>
      <w:tr w:rsidR="00637C40" w14:paraId="12938AAE" w14:textId="77777777" w:rsidTr="00F856E3">
        <w:tc>
          <w:tcPr>
            <w:tcW w:w="9360" w:type="dxa"/>
            <w:gridSpan w:val="4"/>
          </w:tcPr>
          <w:p w14:paraId="75A9EA6F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Introduction</w:t>
            </w:r>
          </w:p>
        </w:tc>
      </w:tr>
      <w:tr w:rsidR="00637C40" w14:paraId="1311EE01" w14:textId="77777777" w:rsidTr="00F856E3">
        <w:tc>
          <w:tcPr>
            <w:tcW w:w="760" w:type="dxa"/>
          </w:tcPr>
          <w:p w14:paraId="413BED7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400" w:type="dxa"/>
          </w:tcPr>
          <w:p w14:paraId="33127155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Explain the scientific background and rationale for the investigation being reported.</w:t>
            </w:r>
          </w:p>
        </w:tc>
        <w:tc>
          <w:tcPr>
            <w:tcW w:w="1010" w:type="dxa"/>
          </w:tcPr>
          <w:p w14:paraId="6592A81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646540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Introduction (Section 1), paragraphs 1–5: laser-dentistry applications and heterogeneous evidence, LLMs as emerging decision-support tools, hallucination as a safety concern, RAG mechanism, and the identified laser-dentistry evidence gap.</w:t>
            </w:r>
          </w:p>
        </w:tc>
      </w:tr>
      <w:tr w:rsidR="00637C40" w14:paraId="450A911D" w14:textId="77777777" w:rsidTr="00F856E3">
        <w:tc>
          <w:tcPr>
            <w:tcW w:w="760" w:type="dxa"/>
          </w:tcPr>
          <w:p w14:paraId="31E459F5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400" w:type="dxa"/>
          </w:tcPr>
          <w:p w14:paraId="205BCB52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State specific objectives, including any prespecified hypotheses.</w:t>
            </w:r>
          </w:p>
        </w:tc>
        <w:tc>
          <w:tcPr>
            <w:tcW w:w="1010" w:type="dxa"/>
          </w:tcPr>
          <w:p w14:paraId="7C93CEE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D760E2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Introduction (Section 1), final paragraph: four comparison parameters and the stated null hypothesis of no significant difference among the five platforms.</w:t>
            </w:r>
          </w:p>
        </w:tc>
      </w:tr>
      <w:tr w:rsidR="00637C40" w14:paraId="30E842FC" w14:textId="77777777" w:rsidTr="00F856E3">
        <w:tc>
          <w:tcPr>
            <w:tcW w:w="9360" w:type="dxa"/>
            <w:gridSpan w:val="4"/>
          </w:tcPr>
          <w:p w14:paraId="416DEB4A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Methods</w:t>
            </w:r>
          </w:p>
        </w:tc>
      </w:tr>
      <w:tr w:rsidR="00637C40" w14:paraId="53CF3141" w14:textId="77777777" w:rsidTr="00F856E3">
        <w:tc>
          <w:tcPr>
            <w:tcW w:w="760" w:type="dxa"/>
          </w:tcPr>
          <w:p w14:paraId="595E93D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400" w:type="dxa"/>
          </w:tcPr>
          <w:p w14:paraId="1C5B68B8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Present key elements of study design early in the paper.</w:t>
            </w:r>
          </w:p>
        </w:tc>
        <w:tc>
          <w:tcPr>
            <w:tcW w:w="1010" w:type="dxa"/>
          </w:tcPr>
          <w:p w14:paraId="79CD0FB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AE1CF0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2.1 (Study Design); reporting standards (STROBE / STARD-AI / TRIPOD-LLM) named in the same section.</w:t>
            </w:r>
          </w:p>
        </w:tc>
      </w:tr>
      <w:tr w:rsidR="00637C40" w14:paraId="44BDC094" w14:textId="77777777" w:rsidTr="00F856E3">
        <w:tc>
          <w:tcPr>
            <w:tcW w:w="760" w:type="dxa"/>
          </w:tcPr>
          <w:p w14:paraId="4EA166E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400" w:type="dxa"/>
          </w:tcPr>
          <w:p w14:paraId="20F6638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Describe the setting, locations and relevant dates, including periods of recruitment, exposure, follow-up and data collection.</w:t>
            </w:r>
          </w:p>
        </w:tc>
        <w:tc>
          <w:tcPr>
            <w:tcW w:w="1010" w:type="dxa"/>
          </w:tcPr>
          <w:p w14:paraId="2755B658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1E41288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2.2: all platform responses collected during June 2026 on a single standardized workstation (Windows 11); each platform accessed through its most advanced publicly available web interface.</w:t>
            </w:r>
          </w:p>
        </w:tc>
      </w:tr>
      <w:tr w:rsidR="00637C40" w14:paraId="01E57CE1" w14:textId="77777777" w:rsidTr="00F856E3">
        <w:tc>
          <w:tcPr>
            <w:tcW w:w="760" w:type="dxa"/>
          </w:tcPr>
          <w:p w14:paraId="3E91C44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6 (a)</w:t>
            </w:r>
          </w:p>
        </w:tc>
        <w:tc>
          <w:tcPr>
            <w:tcW w:w="3400" w:type="dxa"/>
          </w:tcPr>
          <w:p w14:paraId="7924DCAB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Cross-sectional study – Give the eligibility criteria, and the sources and methods of selection of participants.</w:t>
            </w:r>
          </w:p>
        </w:tc>
        <w:tc>
          <w:tcPr>
            <w:tcW w:w="1010" w:type="dxa"/>
          </w:tcPr>
          <w:p w14:paraId="16328163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2A9A70C8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“Units” are the five LLM platforms and the twenty-four vignettes. Platform selection: Section 2.2 (Table 1) – leading, publicly available conversational systems. Vignette construction and selection: Section 2.3. Evaluator panel: Section 2.5.</w:t>
            </w:r>
          </w:p>
        </w:tc>
      </w:tr>
      <w:tr w:rsidR="00637C40" w14:paraId="24786B08" w14:textId="77777777" w:rsidTr="00F856E3">
        <w:tc>
          <w:tcPr>
            <w:tcW w:w="760" w:type="dxa"/>
          </w:tcPr>
          <w:p w14:paraId="5BF47D8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6 (b)</w:t>
            </w:r>
          </w:p>
        </w:tc>
        <w:tc>
          <w:tcPr>
            <w:tcW w:w="3400" w:type="dxa"/>
          </w:tcPr>
          <w:p w14:paraId="4D7FBFCA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For matched studies, give matching criteria and number of exposed and unexposed.</w:t>
            </w:r>
          </w:p>
        </w:tc>
        <w:tc>
          <w:tcPr>
            <w:tcW w:w="1010" w:type="dxa"/>
          </w:tcPr>
          <w:p w14:paraId="38ED97E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4190" w:type="dxa"/>
          </w:tcPr>
          <w:p w14:paraId="0DE85102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Not a matched design; a randomized complete block design (vignette = block, platform = within-block factor) is described in Sections 2.5 and 2.6.</w:t>
            </w:r>
          </w:p>
        </w:tc>
      </w:tr>
      <w:tr w:rsidR="00637C40" w14:paraId="4ACDA9DC" w14:textId="77777777" w:rsidTr="00F856E3">
        <w:tc>
          <w:tcPr>
            <w:tcW w:w="760" w:type="dxa"/>
          </w:tcPr>
          <w:p w14:paraId="3AAED95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400" w:type="dxa"/>
          </w:tcPr>
          <w:p w14:paraId="60D3AFD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1010" w:type="dxa"/>
          </w:tcPr>
          <w:p w14:paraId="340EE7B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3ADCFC73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Outcomes: four parameters (Accuracy incl. laser type/parameters, Patient and Operational Safety, Freedom from Hallucinations, Completeness of Protocol) plus composite – Section 2.5 and Table 2 (5-point Likert rubric). Operational hallucination definition: Section 2.5. Reference standard / diagnostic criteria: Section 2.5.1.</w:t>
            </w:r>
          </w:p>
        </w:tc>
      </w:tr>
      <w:tr w:rsidR="00637C40" w14:paraId="33C51BCE" w14:textId="77777777" w:rsidTr="00F856E3">
        <w:tc>
          <w:tcPr>
            <w:tcW w:w="760" w:type="dxa"/>
          </w:tcPr>
          <w:p w14:paraId="4EFA2DD8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400" w:type="dxa"/>
          </w:tcPr>
          <w:p w14:paraId="6EBD97E6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For each variable of interest, give sources of data and details of methods of assessment (measurement). Describe comparability of assessment methods if there is more than one group.</w:t>
            </w:r>
          </w:p>
        </w:tc>
        <w:tc>
          <w:tcPr>
            <w:tcW w:w="1010" w:type="dxa"/>
          </w:tcPr>
          <w:p w14:paraId="7A7949F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1A185D6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Platform administration and standardized six-part master prompt: Sections 2.2 and 2.4. Blinded scoring procedure and rubric: Section 2.5 (Table 2). The identical prompt and shared rubric applied to every platform ensure comparability.</w:t>
            </w:r>
          </w:p>
        </w:tc>
      </w:tr>
      <w:tr w:rsidR="00637C40" w14:paraId="39D39088" w14:textId="77777777" w:rsidTr="00F856E3">
        <w:tc>
          <w:tcPr>
            <w:tcW w:w="760" w:type="dxa"/>
          </w:tcPr>
          <w:p w14:paraId="2BC8755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400" w:type="dxa"/>
          </w:tcPr>
          <w:p w14:paraId="4449893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Describe any efforts to address potential sources of bias.</w:t>
            </w:r>
          </w:p>
        </w:tc>
        <w:tc>
          <w:tcPr>
            <w:tcW w:w="1010" w:type="dxa"/>
          </w:tcPr>
          <w:p w14:paraId="5421757E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22A5484E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Blinding to platform identity, de-identified randomized presentation (Response A–E), cleared history/memory per vignette (Sections 2.2, 2.5); locked vignette set; shared rubric and common reference standard (Sections 2.5, 2.5.1). Partial blinding for Perplexity (inline citations) and OpenEvidence (source-anchored structure) is acknowledged (Section 2.5). Residual bias (single evaluator per domain, response length, Claude's dual role) discussed in Section 4.</w:t>
            </w:r>
          </w:p>
        </w:tc>
      </w:tr>
      <w:tr w:rsidR="00637C40" w14:paraId="696E7B8B" w14:textId="77777777" w:rsidTr="00F856E3">
        <w:tc>
          <w:tcPr>
            <w:tcW w:w="760" w:type="dxa"/>
          </w:tcPr>
          <w:p w14:paraId="045C9417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400" w:type="dxa"/>
          </w:tcPr>
          <w:p w14:paraId="6EA9F24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Explain how the study size was arrived at.</w:t>
            </w:r>
          </w:p>
        </w:tc>
        <w:tc>
          <w:tcPr>
            <w:tcW w:w="1010" w:type="dxa"/>
          </w:tcPr>
          <w:p w14:paraId="08C1337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6DF23D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2.6 (Statistical Analysis): a priori power informed by the related implant-complications benchmarking study; for k = 5 related platforms and n = 24 vignettes the Friedman test retained &gt; 0.80 power to detect W ≈ 0.13 and &gt; 0.95 power for W ≥ 0.20; realized effects exceeded these thresholds.</w:t>
            </w:r>
          </w:p>
        </w:tc>
      </w:tr>
      <w:tr w:rsidR="00637C40" w14:paraId="4397696E" w14:textId="77777777" w:rsidTr="00F856E3">
        <w:tc>
          <w:tcPr>
            <w:tcW w:w="760" w:type="dxa"/>
          </w:tcPr>
          <w:p w14:paraId="4E86635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lastRenderedPageBreak/>
              <w:t>11</w:t>
            </w:r>
          </w:p>
        </w:tc>
        <w:tc>
          <w:tcPr>
            <w:tcW w:w="3400" w:type="dxa"/>
          </w:tcPr>
          <w:p w14:paraId="149D7392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Explain how quantitative variables were handled in the analyses. If applicable, describe which groupings were chosen and why.</w:t>
            </w:r>
          </w:p>
        </w:tc>
        <w:tc>
          <w:tcPr>
            <w:tcW w:w="1010" w:type="dxa"/>
          </w:tcPr>
          <w:p w14:paraId="77676AA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55734E8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Ordinal Likert scores treated nonparametrically; composite = mean of four parameters (Section 2.5). Summaries as median/IQR (primary) and mean/SD (secondary), overall and per domain (Section 2.6). Category boundaries: “dangerous” = any parameter ≤ 2 and “excellent” = composite = 5 (Section 3.2, Table 3).</w:t>
            </w:r>
          </w:p>
        </w:tc>
      </w:tr>
      <w:tr w:rsidR="00637C40" w14:paraId="2B06DDB4" w14:textId="77777777" w:rsidTr="00F856E3">
        <w:tc>
          <w:tcPr>
            <w:tcW w:w="760" w:type="dxa"/>
          </w:tcPr>
          <w:p w14:paraId="22B46E2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12 (a)</w:t>
            </w:r>
          </w:p>
        </w:tc>
        <w:tc>
          <w:tcPr>
            <w:tcW w:w="3400" w:type="dxa"/>
          </w:tcPr>
          <w:p w14:paraId="7EF211F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Describe all statistical methods, including those used to control for confounding.</w:t>
            </w:r>
          </w:p>
        </w:tc>
        <w:tc>
          <w:tcPr>
            <w:tcW w:w="1010" w:type="dxa"/>
          </w:tcPr>
          <w:p w14:paraId="27A9695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2939D75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2.6: Friedman omnibus (vignette as block) for each parameter and the composite, Conover post-hoc with Holm correction, Kendall's W effect size; Python 3.12, α = 0.05.</w:t>
            </w:r>
          </w:p>
        </w:tc>
      </w:tr>
      <w:tr w:rsidR="00637C40" w14:paraId="229D066E" w14:textId="77777777" w:rsidTr="00F856E3">
        <w:tc>
          <w:tcPr>
            <w:tcW w:w="760" w:type="dxa"/>
          </w:tcPr>
          <w:p w14:paraId="4174059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12 (b)</w:t>
            </w:r>
          </w:p>
        </w:tc>
        <w:tc>
          <w:tcPr>
            <w:tcW w:w="3400" w:type="dxa"/>
          </w:tcPr>
          <w:p w14:paraId="1B07BC2A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Describe any methods used to examine subgroups and interactions.</w:t>
            </w:r>
          </w:p>
        </w:tc>
        <w:tc>
          <w:tcPr>
            <w:tcW w:w="1010" w:type="dxa"/>
          </w:tcPr>
          <w:p w14:paraId="12CA5B39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81A438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2.6: prespecified within-domain (subgroup) Friedman analysis across the three clinical domains (eight vignettes each), reported in Section 3.3 and Table 4.</w:t>
            </w:r>
          </w:p>
        </w:tc>
      </w:tr>
      <w:tr w:rsidR="00637C40" w14:paraId="53B1C56E" w14:textId="77777777" w:rsidTr="00F856E3">
        <w:tc>
          <w:tcPr>
            <w:tcW w:w="760" w:type="dxa"/>
          </w:tcPr>
          <w:p w14:paraId="7D0C7DF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12 (c)</w:t>
            </w:r>
          </w:p>
        </w:tc>
        <w:tc>
          <w:tcPr>
            <w:tcW w:w="3400" w:type="dxa"/>
          </w:tcPr>
          <w:p w14:paraId="6348EB3B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Explain how missing data were addressed.</w:t>
            </w:r>
          </w:p>
        </w:tc>
        <w:tc>
          <w:tcPr>
            <w:tcW w:w="1010" w:type="dxa"/>
          </w:tcPr>
          <w:p w14:paraId="7F751E5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B1A86CA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 missing data – all five platforms returned a usable response to every vignette (120/120 responses, 480/480 parameter ratings; Section 3). Two endodontic ratings recorded as absent/unscorable were conservatively assigned the scale floor (score 1) (Section 2.5).</w:t>
            </w:r>
          </w:p>
        </w:tc>
      </w:tr>
      <w:tr w:rsidR="00637C40" w14:paraId="77DFA080" w14:textId="77777777" w:rsidTr="00F856E3">
        <w:tc>
          <w:tcPr>
            <w:tcW w:w="760" w:type="dxa"/>
          </w:tcPr>
          <w:p w14:paraId="65EFE2D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12 (d)</w:t>
            </w:r>
          </w:p>
        </w:tc>
        <w:tc>
          <w:tcPr>
            <w:tcW w:w="3400" w:type="dxa"/>
          </w:tcPr>
          <w:p w14:paraId="3EDDBF0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Cross-sectional study – If applicable, describe analytical methods taking account of sampling strategy.</w:t>
            </w:r>
          </w:p>
        </w:tc>
        <w:tc>
          <w:tcPr>
            <w:tcW w:w="1010" w:type="dxa"/>
          </w:tcPr>
          <w:p w14:paraId="5BF530A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68574ADB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Randomized complete block structure (five matched platform responses per vignette) explicitly modelled by the Friedman test with vignette as the block (Sections 2.5, 2.6).</w:t>
            </w:r>
          </w:p>
        </w:tc>
      </w:tr>
      <w:tr w:rsidR="00637C40" w14:paraId="25A5B9DB" w14:textId="77777777" w:rsidTr="00F856E3">
        <w:tc>
          <w:tcPr>
            <w:tcW w:w="760" w:type="dxa"/>
          </w:tcPr>
          <w:p w14:paraId="591D52B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12 (e)</w:t>
            </w:r>
          </w:p>
        </w:tc>
        <w:tc>
          <w:tcPr>
            <w:tcW w:w="3400" w:type="dxa"/>
          </w:tcPr>
          <w:p w14:paraId="54FC5A2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Describe any sensitivity analyses.</w:t>
            </w:r>
          </w:p>
        </w:tc>
        <w:tc>
          <w:tcPr>
            <w:tcW w:w="1010" w:type="dxa"/>
          </w:tcPr>
          <w:p w14:paraId="701B722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Partial</w:t>
            </w:r>
          </w:p>
        </w:tc>
        <w:tc>
          <w:tcPr>
            <w:tcW w:w="4190" w:type="dxa"/>
          </w:tcPr>
          <w:p w14:paraId="67F7B9F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 formal pre-specified sensitivity model (e.g. mixed-effects or ordinal regression) was performed. Robustness was examined through domain-stratified analyses (Section 3.3, Table 4), a post hoc response-length–score correlation (Section 3.4), and a blinded inter-examiner calibration sub-study (Section 3.5).</w:t>
            </w:r>
          </w:p>
        </w:tc>
      </w:tr>
      <w:tr w:rsidR="00637C40" w14:paraId="30332CF6" w14:textId="77777777" w:rsidTr="00F856E3">
        <w:tc>
          <w:tcPr>
            <w:tcW w:w="9360" w:type="dxa"/>
            <w:gridSpan w:val="4"/>
          </w:tcPr>
          <w:p w14:paraId="61D7D5D5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Results</w:t>
            </w:r>
          </w:p>
        </w:tc>
      </w:tr>
      <w:tr w:rsidR="00637C40" w14:paraId="32CAFC6E" w14:textId="77777777" w:rsidTr="00F856E3">
        <w:tc>
          <w:tcPr>
            <w:tcW w:w="760" w:type="dxa"/>
          </w:tcPr>
          <w:p w14:paraId="3650B86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13 (a)</w:t>
            </w:r>
          </w:p>
        </w:tc>
        <w:tc>
          <w:tcPr>
            <w:tcW w:w="3400" w:type="dxa"/>
          </w:tcPr>
          <w:p w14:paraId="51BE210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Report numbers of individuals at each stage of study (potentially eligible, examined, eligible, included, analysed).</w:t>
            </w:r>
          </w:p>
        </w:tc>
        <w:tc>
          <w:tcPr>
            <w:tcW w:w="1010" w:type="dxa"/>
          </w:tcPr>
          <w:p w14:paraId="0604ECF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602C1A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3: 5 platforms × 24 vignettes = 120 expected and obtained responses (480 parameter ratings); all units analysed.</w:t>
            </w:r>
          </w:p>
        </w:tc>
      </w:tr>
      <w:tr w:rsidR="00637C40" w:rsidRPr="00F113CF" w14:paraId="30326A5C" w14:textId="77777777" w:rsidTr="00F856E3">
        <w:tc>
          <w:tcPr>
            <w:tcW w:w="760" w:type="dxa"/>
          </w:tcPr>
          <w:p w14:paraId="3042D19E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13 (b)</w:t>
            </w:r>
          </w:p>
        </w:tc>
        <w:tc>
          <w:tcPr>
            <w:tcW w:w="3400" w:type="dxa"/>
          </w:tcPr>
          <w:p w14:paraId="0E706315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Give reasons for non-participation at each stage.</w:t>
            </w:r>
          </w:p>
        </w:tc>
        <w:tc>
          <w:tcPr>
            <w:tcW w:w="1010" w:type="dxa"/>
          </w:tcPr>
          <w:p w14:paraId="0895D77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4190" w:type="dxa"/>
          </w:tcPr>
          <w:p w14:paraId="777720CE" w14:textId="77777777" w:rsidR="00637C40" w:rsidRPr="00F856E3" w:rsidRDefault="00000000">
            <w:pPr>
              <w:spacing w:line="230" w:lineRule="auto"/>
              <w:rPr>
                <w:lang w:val="it-IT"/>
              </w:rPr>
            </w:pPr>
            <w:r>
              <w:rPr>
                <w:sz w:val="17"/>
                <w:szCs w:val="17"/>
                <w:lang w:val="it-IT"/>
              </w:rPr>
              <w:t>No non-participation; complete data (Section 3).</w:t>
            </w:r>
          </w:p>
        </w:tc>
      </w:tr>
      <w:tr w:rsidR="00637C40" w14:paraId="6C939E74" w14:textId="77777777" w:rsidTr="00F856E3">
        <w:tc>
          <w:tcPr>
            <w:tcW w:w="760" w:type="dxa"/>
          </w:tcPr>
          <w:p w14:paraId="1927181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13 (c)</w:t>
            </w:r>
          </w:p>
        </w:tc>
        <w:tc>
          <w:tcPr>
            <w:tcW w:w="3400" w:type="dxa"/>
          </w:tcPr>
          <w:p w14:paraId="0BD363C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Consider use of a flow diagram.</w:t>
            </w:r>
          </w:p>
        </w:tc>
        <w:tc>
          <w:tcPr>
            <w:tcW w:w="1010" w:type="dxa"/>
          </w:tcPr>
          <w:p w14:paraId="47A778B9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Partial</w:t>
            </w:r>
          </w:p>
        </w:tc>
        <w:tc>
          <w:tcPr>
            <w:tcW w:w="4190" w:type="dxa"/>
          </w:tcPr>
          <w:p w14:paraId="7ECF2A38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 STROBE-style participant-attrition diagram, but Fig. 1 provides a study-design / workflow diagram (24 vignettes → 5 platforms → 120 responses → blinded domain-matched scoring).</w:t>
            </w:r>
          </w:p>
        </w:tc>
      </w:tr>
      <w:tr w:rsidR="00637C40" w14:paraId="7C934C2D" w14:textId="77777777" w:rsidTr="00F856E3">
        <w:tc>
          <w:tcPr>
            <w:tcW w:w="760" w:type="dxa"/>
          </w:tcPr>
          <w:p w14:paraId="7632A89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14 (a)</w:t>
            </w:r>
          </w:p>
        </w:tc>
        <w:tc>
          <w:tcPr>
            <w:tcW w:w="3400" w:type="dxa"/>
          </w:tcPr>
          <w:p w14:paraId="1079E08E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Give characteristics of study participants and information on exposures and potential confounders.</w:t>
            </w:r>
          </w:p>
        </w:tc>
        <w:tc>
          <w:tcPr>
            <w:tcW w:w="1010" w:type="dxa"/>
          </w:tcPr>
          <w:p w14:paraId="2EA8504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A1C591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Platform characteristics (developer, access interface, subscription, category): Table 1. Vignette characteristics (demographics, history, clinical and radiographic findings) and three-domain structure: Section 2.3 (full text in Online Resource 1).</w:t>
            </w:r>
          </w:p>
        </w:tc>
      </w:tr>
      <w:tr w:rsidR="00637C40" w14:paraId="010850DF" w14:textId="77777777" w:rsidTr="00F856E3">
        <w:tc>
          <w:tcPr>
            <w:tcW w:w="760" w:type="dxa"/>
          </w:tcPr>
          <w:p w14:paraId="39DE65B7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14 (b)</w:t>
            </w:r>
          </w:p>
        </w:tc>
        <w:tc>
          <w:tcPr>
            <w:tcW w:w="3400" w:type="dxa"/>
          </w:tcPr>
          <w:p w14:paraId="23F0F1A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Indicate number of participants with missing data for each variable of interest.</w:t>
            </w:r>
          </w:p>
        </w:tc>
        <w:tc>
          <w:tcPr>
            <w:tcW w:w="1010" w:type="dxa"/>
          </w:tcPr>
          <w:p w14:paraId="6D72604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57E4D69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 missing data; 120 complete responses and 480 parameter ratings (Section 3).</w:t>
            </w:r>
          </w:p>
        </w:tc>
      </w:tr>
      <w:tr w:rsidR="00637C40" w14:paraId="37AFB269" w14:textId="77777777" w:rsidTr="00F856E3">
        <w:tc>
          <w:tcPr>
            <w:tcW w:w="760" w:type="dxa"/>
          </w:tcPr>
          <w:p w14:paraId="37132679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14 (c)</w:t>
            </w:r>
          </w:p>
        </w:tc>
        <w:tc>
          <w:tcPr>
            <w:tcW w:w="3400" w:type="dxa"/>
          </w:tcPr>
          <w:p w14:paraId="74B7B0EB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Cohort study – Summarise follow-up time.</w:t>
            </w:r>
          </w:p>
        </w:tc>
        <w:tc>
          <w:tcPr>
            <w:tcW w:w="1010" w:type="dxa"/>
          </w:tcPr>
          <w:p w14:paraId="460B1F2E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4190" w:type="dxa"/>
          </w:tcPr>
          <w:p w14:paraId="33B812A2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Not a cohort study; no follow-up period.</w:t>
            </w:r>
          </w:p>
        </w:tc>
      </w:tr>
      <w:tr w:rsidR="00637C40" w14:paraId="02CCC22E" w14:textId="77777777" w:rsidTr="00F856E3">
        <w:tc>
          <w:tcPr>
            <w:tcW w:w="760" w:type="dxa"/>
          </w:tcPr>
          <w:p w14:paraId="6A5C2CA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3400" w:type="dxa"/>
          </w:tcPr>
          <w:p w14:paraId="6D29D995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Cross-sectional study – Report numbers of outcome events or summary measures.</w:t>
            </w:r>
          </w:p>
        </w:tc>
        <w:tc>
          <w:tcPr>
            <w:tcW w:w="1010" w:type="dxa"/>
          </w:tcPr>
          <w:p w14:paraId="798D1DF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35C2874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Table 3 (per-platform mean [95% CI] and composite median/IQR for each parameter, plus % dangerous and % excellent); narrative in Sections 3.1–3.2.</w:t>
            </w:r>
          </w:p>
        </w:tc>
      </w:tr>
      <w:tr w:rsidR="00637C40" w14:paraId="0C9C1E3F" w14:textId="77777777" w:rsidTr="00F856E3">
        <w:tc>
          <w:tcPr>
            <w:tcW w:w="760" w:type="dxa"/>
          </w:tcPr>
          <w:p w14:paraId="04421D35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16 (a)</w:t>
            </w:r>
          </w:p>
        </w:tc>
        <w:tc>
          <w:tcPr>
            <w:tcW w:w="3400" w:type="dxa"/>
          </w:tcPr>
          <w:p w14:paraId="77671A1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Give unadjusted estimates and, if applicable, confounder-adjusted estimates and their precision (e.g. 95% CI). Make clear which confounders were adjusted for and why.</w:t>
            </w:r>
          </w:p>
        </w:tc>
        <w:tc>
          <w:tcPr>
            <w:tcW w:w="1010" w:type="dxa"/>
          </w:tcPr>
          <w:p w14:paraId="4961297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2F8140B5" w14:textId="5BA580EA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 xml:space="preserve">Unadjusted: Table 3 (means with 95% CI). Friedman / Conover with Kendall's W effect sizes (Section 3.1, Table 4, Online Resource 4). No separate confounder-adjusted model in a within-block design; inter-examiner reliability from the calibration sub-study is reported with 95% CIs (composite </w:t>
            </w:r>
            <w:proofErr w:type="gramStart"/>
            <w:r>
              <w:rPr>
                <w:sz w:val="17"/>
                <w:szCs w:val="17"/>
              </w:rPr>
              <w:t>ICC(</w:t>
            </w:r>
            <w:proofErr w:type="gramEnd"/>
            <w:r>
              <w:rPr>
                <w:sz w:val="17"/>
                <w:szCs w:val="17"/>
              </w:rPr>
              <w:t>2,1) = 0.85 [0.69–0.94], ICC(2,k) = 0.95 [0.87–0.98]; Section 3.5; full per-parameter breakdown in Online Resource 4, Table S13).</w:t>
            </w:r>
          </w:p>
        </w:tc>
      </w:tr>
      <w:tr w:rsidR="00637C40" w14:paraId="47CB81DF" w14:textId="77777777" w:rsidTr="00F856E3">
        <w:tc>
          <w:tcPr>
            <w:tcW w:w="760" w:type="dxa"/>
          </w:tcPr>
          <w:p w14:paraId="5C411D18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16 (b)</w:t>
            </w:r>
          </w:p>
        </w:tc>
        <w:tc>
          <w:tcPr>
            <w:tcW w:w="3400" w:type="dxa"/>
          </w:tcPr>
          <w:p w14:paraId="4906032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Report category boundaries when continuous variables were categorized.</w:t>
            </w:r>
          </w:p>
        </w:tc>
        <w:tc>
          <w:tcPr>
            <w:tcW w:w="1010" w:type="dxa"/>
          </w:tcPr>
          <w:p w14:paraId="06B2C19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12B86A1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Likert anchors (1 = dangerous/poor to 5 = excellent/evidence-based) defined in Table 2; “dangerous” = any parameter ≤ 2 and “excellent” = composite = 5 (Section 3.2, Table 3).</w:t>
            </w:r>
          </w:p>
        </w:tc>
      </w:tr>
      <w:tr w:rsidR="00637C40" w14:paraId="496C4AF0" w14:textId="77777777" w:rsidTr="00F856E3">
        <w:tc>
          <w:tcPr>
            <w:tcW w:w="760" w:type="dxa"/>
          </w:tcPr>
          <w:p w14:paraId="65422FB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16 (c)</w:t>
            </w:r>
          </w:p>
        </w:tc>
        <w:tc>
          <w:tcPr>
            <w:tcW w:w="3400" w:type="dxa"/>
          </w:tcPr>
          <w:p w14:paraId="372D41F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If relevant, consider translating estimates of relative risk into absolute risk for a meaningful time period.</w:t>
            </w:r>
          </w:p>
        </w:tc>
        <w:tc>
          <w:tcPr>
            <w:tcW w:w="1010" w:type="dxa"/>
          </w:tcPr>
          <w:p w14:paraId="5E4798C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4190" w:type="dxa"/>
          </w:tcPr>
          <w:p w14:paraId="7BBE2A5E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Not applicable to this benchmarking design (no risk / time-to-event measure).</w:t>
            </w:r>
          </w:p>
        </w:tc>
      </w:tr>
      <w:tr w:rsidR="00637C40" w14:paraId="2F371013" w14:textId="77777777" w:rsidTr="00F856E3">
        <w:tc>
          <w:tcPr>
            <w:tcW w:w="760" w:type="dxa"/>
          </w:tcPr>
          <w:p w14:paraId="5A83BD8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3400" w:type="dxa"/>
          </w:tcPr>
          <w:p w14:paraId="0B0A531D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Report other analyses done – e.g. analyses of subgroups and interactions, and sensitivity analyses.</w:t>
            </w:r>
          </w:p>
        </w:tc>
        <w:tc>
          <w:tcPr>
            <w:tcW w:w="1010" w:type="dxa"/>
          </w:tcPr>
          <w:p w14:paraId="2623311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2F1E0F2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 xml:space="preserve">Domain-stratified analyses (Section 3.3, Fig. 5, Table 4); safety / low-quality-response proportions (Section 3.2); response-length–score correlation </w:t>
            </w:r>
            <w:r>
              <w:rPr>
                <w:sz w:val="17"/>
                <w:szCs w:val="17"/>
              </w:rPr>
              <w:lastRenderedPageBreak/>
              <w:t>(Section 3.4); inter-examiner calibration sub-study (Section 3.5).</w:t>
            </w:r>
          </w:p>
        </w:tc>
      </w:tr>
      <w:tr w:rsidR="00637C40" w14:paraId="6A21498D" w14:textId="77777777" w:rsidTr="00F856E3">
        <w:tc>
          <w:tcPr>
            <w:tcW w:w="9360" w:type="dxa"/>
            <w:gridSpan w:val="4"/>
          </w:tcPr>
          <w:p w14:paraId="6E706D62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lastRenderedPageBreak/>
              <w:t>Discussion</w:t>
            </w:r>
          </w:p>
        </w:tc>
      </w:tr>
      <w:tr w:rsidR="00637C40" w14:paraId="34471826" w14:textId="77777777" w:rsidTr="00F856E3">
        <w:tc>
          <w:tcPr>
            <w:tcW w:w="760" w:type="dxa"/>
          </w:tcPr>
          <w:p w14:paraId="1A0F974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3400" w:type="dxa"/>
          </w:tcPr>
          <w:p w14:paraId="632BCF6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Summarise key results with reference to study objectives.</w:t>
            </w:r>
          </w:p>
        </w:tc>
        <w:tc>
          <w:tcPr>
            <w:tcW w:w="1010" w:type="dxa"/>
          </w:tcPr>
          <w:p w14:paraId="22C0238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0205AC5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4, opening paragraph: null hypothesis rejected for the composite and three of four parameters; OpenEvidence and Claude form the top tier; uniformly low hallucination rate. Section 5 (Conclusion).</w:t>
            </w:r>
          </w:p>
        </w:tc>
      </w:tr>
      <w:tr w:rsidR="00637C40" w14:paraId="2492F7DE" w14:textId="77777777" w:rsidTr="00F856E3">
        <w:tc>
          <w:tcPr>
            <w:tcW w:w="760" w:type="dxa"/>
          </w:tcPr>
          <w:p w14:paraId="267648D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3400" w:type="dxa"/>
          </w:tcPr>
          <w:p w14:paraId="22D439B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Discuss limitations of the study, taking into account sources of potential bias or imprecision; discuss both direction and magnitude.</w:t>
            </w:r>
          </w:p>
        </w:tc>
        <w:tc>
          <w:tcPr>
            <w:tcW w:w="1010" w:type="dxa"/>
          </w:tcPr>
          <w:p w14:paraId="42B604E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5BE613D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4 (limitations paragraph): in-silico text-only synthetic vignettes; single matched evaluator per domain; single query under default settings (snapshot of evolving products); Claude both drafted vignettes and was an evaluated platform; single prompt and no replicate generations.</w:t>
            </w:r>
          </w:p>
        </w:tc>
      </w:tr>
      <w:tr w:rsidR="00637C40" w14:paraId="391C710C" w14:textId="77777777" w:rsidTr="00F856E3">
        <w:tc>
          <w:tcPr>
            <w:tcW w:w="760" w:type="dxa"/>
          </w:tcPr>
          <w:p w14:paraId="353BC94E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3400" w:type="dxa"/>
          </w:tcPr>
          <w:p w14:paraId="51A67E0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Give a cautious overall interpretation considering objectives, limitations, multiplicity of analyses, results from similar studies, and other relevant evidence.</w:t>
            </w:r>
          </w:p>
        </w:tc>
        <w:tc>
          <w:tcPr>
            <w:tcW w:w="1010" w:type="dxa"/>
          </w:tcPr>
          <w:p w14:paraId="7B3D40A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7E5773E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4: mechanistic interpretation of the retrieval advantage (corpus provenance / quality, not retrieval per se), domain dependence of discrimination, and comparison with prior LLM/dental literature and the implant-complications study; cautious framing as supervised adjuncts.</w:t>
            </w:r>
          </w:p>
        </w:tc>
      </w:tr>
      <w:tr w:rsidR="00637C40" w14:paraId="45C50F64" w14:textId="77777777" w:rsidTr="00F856E3">
        <w:tc>
          <w:tcPr>
            <w:tcW w:w="760" w:type="dxa"/>
          </w:tcPr>
          <w:p w14:paraId="1329A60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3400" w:type="dxa"/>
          </w:tcPr>
          <w:p w14:paraId="3FD293F6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Discuss the generalisability (external validity) of the study results.</w:t>
            </w:r>
          </w:p>
        </w:tc>
        <w:tc>
          <w:tcPr>
            <w:tcW w:w="1010" w:type="dxa"/>
          </w:tcPr>
          <w:p w14:paraId="0C831A2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1C8F6FE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4: in-silico, text-only vignettes lacking radiographic / tactile / patient-specific data; results a snapshot of rapidly evolving commercial products; alternative prompting strategies not examined; need for version-anchored, transparent reporting.</w:t>
            </w:r>
          </w:p>
        </w:tc>
      </w:tr>
      <w:tr w:rsidR="00637C40" w14:paraId="0BB9DD0C" w14:textId="77777777" w:rsidTr="00F856E3">
        <w:tc>
          <w:tcPr>
            <w:tcW w:w="9360" w:type="dxa"/>
            <w:gridSpan w:val="4"/>
          </w:tcPr>
          <w:p w14:paraId="33EC4FB0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Other information</w:t>
            </w:r>
          </w:p>
        </w:tc>
      </w:tr>
      <w:tr w:rsidR="00637C40" w14:paraId="4303D4C6" w14:textId="77777777" w:rsidTr="00F856E3">
        <w:tc>
          <w:tcPr>
            <w:tcW w:w="760" w:type="dxa"/>
          </w:tcPr>
          <w:p w14:paraId="7461BB1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3400" w:type="dxa"/>
          </w:tcPr>
          <w:p w14:paraId="6454831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1010" w:type="dxa"/>
          </w:tcPr>
          <w:p w14:paraId="193588FC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35D4E28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Statements and Declarations – Funding (no funding / specific grant received); Competing Interests (none); Ethics Approval; Data Availability; Declaration of AI Use.</w:t>
            </w:r>
          </w:p>
        </w:tc>
      </w:tr>
    </w:tbl>
    <w:p w14:paraId="05068773" w14:textId="77777777" w:rsidR="00637C40" w:rsidRDefault="00637C40">
      <w:pPr>
        <w:spacing w:after="120"/>
      </w:pPr>
    </w:p>
    <w:p w14:paraId="6687003F" w14:textId="77777777" w:rsidR="00637C40" w:rsidRPr="00F856E3" w:rsidRDefault="00000000">
      <w:pPr>
        <w:pStyle w:val="Heading1"/>
        <w:rPr>
          <w:color w:val="auto"/>
        </w:rPr>
      </w:pPr>
      <w:r>
        <w:rPr>
          <w:color w:val="auto"/>
        </w:rPr>
        <w:t>Part 2 — STARD-AI Checklist (diagnostic-accuracy reporting for AI)</w:t>
      </w:r>
    </w:p>
    <w:p w14:paraId="642156F0" w14:textId="77777777" w:rsidR="00637C40" w:rsidRDefault="00000000">
      <w:pPr>
        <w:spacing w:after="160" w:line="250" w:lineRule="auto"/>
      </w:pPr>
      <w:r>
        <w:rPr>
          <w:i/>
          <w:iCs/>
        </w:rPr>
        <w:t>Item numbering follows STARD 2015, the validated base on which the STARD-AI extension is being developed (Sounderajah et al., BMJ Open 2021); AI-specific considerations – platform / version, access mode, input handling, and the absence of training-data control for proprietary platforms – are addressed within the relevant items. Because the index test produces free-text clinical guidance rather than a binary classification, accuracy is expressed through expert Likert ratings; the departure from classic 2×2 accuracy reporting is handled within items 1 and 23, which additionally report a discrete quantitative accuracy measure (the proportion of responses reaching an Accuracy score of 4 or 5) and the full ordinal distribution of scores against the reference standard.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760"/>
        <w:gridCol w:w="3400"/>
        <w:gridCol w:w="1010"/>
        <w:gridCol w:w="4190"/>
      </w:tblGrid>
      <w:tr w:rsidR="00637C40" w14:paraId="209754F4" w14:textId="77777777" w:rsidTr="00F856E3">
        <w:tc>
          <w:tcPr>
            <w:tcW w:w="760" w:type="dxa"/>
          </w:tcPr>
          <w:p w14:paraId="6E111E29" w14:textId="77777777" w:rsidR="00637C40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Item</w:t>
            </w:r>
          </w:p>
        </w:tc>
        <w:tc>
          <w:tcPr>
            <w:tcW w:w="3400" w:type="dxa"/>
          </w:tcPr>
          <w:p w14:paraId="21BEF718" w14:textId="77777777" w:rsidR="00637C40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Recommendation</w:t>
            </w:r>
          </w:p>
        </w:tc>
        <w:tc>
          <w:tcPr>
            <w:tcW w:w="1010" w:type="dxa"/>
          </w:tcPr>
          <w:p w14:paraId="361A1249" w14:textId="77777777" w:rsidR="00637C40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Reported</w:t>
            </w:r>
          </w:p>
        </w:tc>
        <w:tc>
          <w:tcPr>
            <w:tcW w:w="4190" w:type="dxa"/>
          </w:tcPr>
          <w:p w14:paraId="213C47B3" w14:textId="77777777" w:rsidR="00637C40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Location in manuscript / Comment</w:t>
            </w:r>
          </w:p>
        </w:tc>
      </w:tr>
      <w:tr w:rsidR="00637C40" w14:paraId="48B5CF21" w14:textId="77777777" w:rsidTr="00F856E3">
        <w:tc>
          <w:tcPr>
            <w:tcW w:w="9360" w:type="dxa"/>
            <w:gridSpan w:val="4"/>
          </w:tcPr>
          <w:p w14:paraId="68A2CD95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Title or abstract</w:t>
            </w:r>
          </w:p>
        </w:tc>
      </w:tr>
      <w:tr w:rsidR="00637C40" w14:paraId="224436C0" w14:textId="77777777" w:rsidTr="00F856E3">
        <w:tc>
          <w:tcPr>
            <w:tcW w:w="760" w:type="dxa"/>
          </w:tcPr>
          <w:p w14:paraId="01D80473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400" w:type="dxa"/>
          </w:tcPr>
          <w:p w14:paraId="572F72FD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Identification as a study of diagnostic accuracy using at least one measure of accuracy (such as sensitivity, specificity, predictive values, or AUC).</w:t>
            </w:r>
          </w:p>
        </w:tc>
        <w:tc>
          <w:tcPr>
            <w:tcW w:w="1010" w:type="dxa"/>
          </w:tcPr>
          <w:p w14:paraId="525B2B21" w14:textId="4A407B52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E926BF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Title and Abstract identify a comparative decision-support / accuracy evaluation of conversational AI platforms. Accuracy is captured via an expert-rated 5-point Likert “Accuracy” parameter (incl. correctness of laser type and operating parameters) rather than classic sensitivity/specificity/AUC – appropriate for free-text clinical guidance, but a deliberate departure from STARD's quantitative accuracy metrics. Accuracy is now also reported as a discrete quantitative measure, the proportion of responses reaching an acceptable threshold (Accuracy score ≥ 4), in the Abstract and Section 3.2 (per-platform values in Online Resource 4), giving a defined measure of accuracy as recommended while retaining the expert-rating design.</w:t>
            </w:r>
          </w:p>
        </w:tc>
      </w:tr>
      <w:tr w:rsidR="00637C40" w14:paraId="30B3A4C9" w14:textId="77777777" w:rsidTr="00F856E3">
        <w:tc>
          <w:tcPr>
            <w:tcW w:w="9360" w:type="dxa"/>
            <w:gridSpan w:val="4"/>
          </w:tcPr>
          <w:p w14:paraId="2DF525B0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Abstract</w:t>
            </w:r>
          </w:p>
        </w:tc>
      </w:tr>
      <w:tr w:rsidR="00637C40" w14:paraId="4DAEB49C" w14:textId="77777777" w:rsidTr="00F856E3">
        <w:tc>
          <w:tcPr>
            <w:tcW w:w="760" w:type="dxa"/>
          </w:tcPr>
          <w:p w14:paraId="76C5704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400" w:type="dxa"/>
          </w:tcPr>
          <w:p w14:paraId="0F7276D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Structured summary of study design, methods, results, and conclusions.</w:t>
            </w:r>
          </w:p>
        </w:tc>
        <w:tc>
          <w:tcPr>
            <w:tcW w:w="1010" w:type="dxa"/>
          </w:tcPr>
          <w:p w14:paraId="3546F957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ED85E83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Structured Abstract (Purpose, Methods, Results, Conclusion).</w:t>
            </w:r>
          </w:p>
        </w:tc>
      </w:tr>
      <w:tr w:rsidR="00637C40" w14:paraId="1E9E4620" w14:textId="77777777" w:rsidTr="00F856E3">
        <w:tc>
          <w:tcPr>
            <w:tcW w:w="9360" w:type="dxa"/>
            <w:gridSpan w:val="4"/>
          </w:tcPr>
          <w:p w14:paraId="4253A99A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Introduction</w:t>
            </w:r>
          </w:p>
        </w:tc>
      </w:tr>
      <w:tr w:rsidR="00637C40" w14:paraId="7CD609E5" w14:textId="77777777" w:rsidTr="00F856E3">
        <w:tc>
          <w:tcPr>
            <w:tcW w:w="760" w:type="dxa"/>
          </w:tcPr>
          <w:p w14:paraId="38F4F08C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400" w:type="dxa"/>
          </w:tcPr>
          <w:p w14:paraId="27BD0A2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Scientific and clinical background, including the intended use and clinical role of the index test (the AI system).</w:t>
            </w:r>
          </w:p>
        </w:tc>
        <w:tc>
          <w:tcPr>
            <w:tcW w:w="1010" w:type="dxa"/>
          </w:tcPr>
          <w:p w14:paraId="1A3BEF43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856967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1: LLMs / RAG platforms positioned as candidate clinical decision-support tools for laser dentistry; intended supervised, evidence-grounded role.</w:t>
            </w:r>
          </w:p>
        </w:tc>
      </w:tr>
      <w:tr w:rsidR="00637C40" w14:paraId="299A483E" w14:textId="77777777" w:rsidTr="00F856E3">
        <w:tc>
          <w:tcPr>
            <w:tcW w:w="760" w:type="dxa"/>
          </w:tcPr>
          <w:p w14:paraId="3A4693C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400" w:type="dxa"/>
          </w:tcPr>
          <w:p w14:paraId="409FD6E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Study objectives and hypotheses.</w:t>
            </w:r>
          </w:p>
        </w:tc>
        <w:tc>
          <w:tcPr>
            <w:tcW w:w="1010" w:type="dxa"/>
          </w:tcPr>
          <w:p w14:paraId="4F03B90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5CDD1C7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1, final paragraph: four-parameter comparison and the null hypothesis of no difference among platforms.</w:t>
            </w:r>
          </w:p>
        </w:tc>
      </w:tr>
      <w:tr w:rsidR="00637C40" w14:paraId="018C82B5" w14:textId="77777777" w:rsidTr="00F856E3">
        <w:tc>
          <w:tcPr>
            <w:tcW w:w="9360" w:type="dxa"/>
            <w:gridSpan w:val="4"/>
          </w:tcPr>
          <w:p w14:paraId="1ED236C9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lastRenderedPageBreak/>
              <w:t>Methods</w:t>
            </w:r>
          </w:p>
        </w:tc>
      </w:tr>
      <w:tr w:rsidR="00637C40" w14:paraId="75B5DE66" w14:textId="77777777" w:rsidTr="00F856E3">
        <w:tc>
          <w:tcPr>
            <w:tcW w:w="760" w:type="dxa"/>
          </w:tcPr>
          <w:p w14:paraId="067F0A63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400" w:type="dxa"/>
          </w:tcPr>
          <w:p w14:paraId="52BE2705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Whether data collection was planned before the index test and reference standard were performed (prospective) or after (retrospective).</w:t>
            </w:r>
          </w:p>
        </w:tc>
        <w:tc>
          <w:tcPr>
            <w:tcW w:w="1010" w:type="dxa"/>
          </w:tcPr>
          <w:p w14:paraId="63EBD2D9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6904BC3A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2.1: prospective design; the vignette set was locked and the reference framework prespecified before scoring.</w:t>
            </w:r>
          </w:p>
        </w:tc>
      </w:tr>
      <w:tr w:rsidR="00637C40" w14:paraId="6A758980" w14:textId="77777777" w:rsidTr="00F856E3">
        <w:tc>
          <w:tcPr>
            <w:tcW w:w="760" w:type="dxa"/>
          </w:tcPr>
          <w:p w14:paraId="5D21ED6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400" w:type="dxa"/>
          </w:tcPr>
          <w:p w14:paraId="799CAC0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Eligibility criteria (for cases / inputs evaluated).</w:t>
            </w:r>
          </w:p>
        </w:tc>
        <w:tc>
          <w:tcPr>
            <w:tcW w:w="1010" w:type="dxa"/>
          </w:tcPr>
          <w:p w14:paraId="0A808A2C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04176C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Platform inclusion criteria: Section 2.2 (Table 1). Vignette construction and inclusion: Section 2.3 (24 synthetic cases, 8 per clinical domain).</w:t>
            </w:r>
          </w:p>
        </w:tc>
      </w:tr>
      <w:tr w:rsidR="00637C40" w14:paraId="58BDD2DA" w14:textId="77777777" w:rsidTr="00F856E3">
        <w:tc>
          <w:tcPr>
            <w:tcW w:w="760" w:type="dxa"/>
          </w:tcPr>
          <w:p w14:paraId="3A28E6F7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400" w:type="dxa"/>
          </w:tcPr>
          <w:p w14:paraId="4E31766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On what basis potentially eligible participants/inputs were identified.</w:t>
            </w:r>
          </w:p>
        </w:tc>
        <w:tc>
          <w:tcPr>
            <w:tcW w:w="1010" w:type="dxa"/>
          </w:tcPr>
          <w:p w14:paraId="5A995EF5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8DCC6A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Platforms: leading, publicly available, most advanced conversational systems (Section 2.2). Vignettes: purpose-built to span the periodontal/surgical, endodontic, and restorative/prosthetic domains (Section 2.3).</w:t>
            </w:r>
          </w:p>
        </w:tc>
      </w:tr>
      <w:tr w:rsidR="00637C40" w14:paraId="2E42C3EE" w14:textId="77777777" w:rsidTr="00F856E3">
        <w:tc>
          <w:tcPr>
            <w:tcW w:w="760" w:type="dxa"/>
          </w:tcPr>
          <w:p w14:paraId="054EDB67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400" w:type="dxa"/>
          </w:tcPr>
          <w:p w14:paraId="3D43A89A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Where and when potentially eligible inputs were identified (setting, location and dates).</w:t>
            </w:r>
          </w:p>
        </w:tc>
        <w:tc>
          <w:tcPr>
            <w:tcW w:w="1010" w:type="dxa"/>
          </w:tcPr>
          <w:p w14:paraId="67A7FFE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3311003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2.2: administration during June 2026 on a single standardized workstation (Windows 11), each platform accessed through its most advanced publicly available web interface.</w:t>
            </w:r>
          </w:p>
        </w:tc>
      </w:tr>
      <w:tr w:rsidR="00637C40" w14:paraId="5A548E83" w14:textId="77777777" w:rsidTr="00F856E3">
        <w:tc>
          <w:tcPr>
            <w:tcW w:w="760" w:type="dxa"/>
          </w:tcPr>
          <w:p w14:paraId="52635BE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400" w:type="dxa"/>
          </w:tcPr>
          <w:p w14:paraId="48C9699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Whether the series was consecutive, random or convenience.</w:t>
            </w:r>
          </w:p>
        </w:tc>
        <w:tc>
          <w:tcPr>
            <w:tcW w:w="1010" w:type="dxa"/>
          </w:tcPr>
          <w:p w14:paraId="71E5647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84BADBB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Platforms = purposive / convenience selection of leading systems (Section 2.2). Responses presented to evaluators in randomized, de-identified order (Response A–E) (Sections 2.2, 2.5).</w:t>
            </w:r>
          </w:p>
        </w:tc>
      </w:tr>
      <w:tr w:rsidR="00637C40" w14:paraId="7F0B6EF7" w14:textId="77777777" w:rsidTr="00F856E3">
        <w:tc>
          <w:tcPr>
            <w:tcW w:w="760" w:type="dxa"/>
          </w:tcPr>
          <w:p w14:paraId="78EC1E8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10a</w:t>
            </w:r>
          </w:p>
        </w:tc>
        <w:tc>
          <w:tcPr>
            <w:tcW w:w="3400" w:type="dxa"/>
          </w:tcPr>
          <w:p w14:paraId="155C840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Index test (AI system), in sufficient detail to allow replication – including model name, version, developer, access mode, input handling, and any settings.</w:t>
            </w:r>
          </w:p>
        </w:tc>
        <w:tc>
          <w:tcPr>
            <w:tcW w:w="1010" w:type="dxa"/>
          </w:tcPr>
          <w:p w14:paraId="1940D52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673F361A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Table 1 (platform with version, developer, access interface, subscription, category). Section 2.2: June 2026, single standardized workstation; history / memory / personalization cleared before each de novo prompt; most capable response mode enabled where a reasoning / thinking / deep-search toggle existed; sampling parameters at platform defaults. Section 2.4: verbatim six-part master prompt. Note (Section 2.2): for RAG platforms the backend foundation model is platform-selected and may vary.</w:t>
            </w:r>
          </w:p>
        </w:tc>
      </w:tr>
      <w:tr w:rsidR="00637C40" w14:paraId="7725A5CD" w14:textId="77777777" w:rsidTr="00F856E3">
        <w:tc>
          <w:tcPr>
            <w:tcW w:w="760" w:type="dxa"/>
          </w:tcPr>
          <w:p w14:paraId="74ACECA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10b</w:t>
            </w:r>
          </w:p>
        </w:tc>
        <w:tc>
          <w:tcPr>
            <w:tcW w:w="3400" w:type="dxa"/>
          </w:tcPr>
          <w:p w14:paraId="29004E8A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Reference standard, in sufficient detail to allow replication.</w:t>
            </w:r>
          </w:p>
        </w:tc>
        <w:tc>
          <w:tcPr>
            <w:tcW w:w="1010" w:type="dxa"/>
          </w:tcPr>
          <w:p w14:paraId="0BD1C5B3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99A150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2.5.1: anchored to World Federation for Laser Dentistry (WFLD) consensus and the American Academy of Periodontology best-evidence consensus, plus per-vignette systematic reviews and key primary studies (Online Resource 3); fixed safety thresholds (cooling, intrapulpal temperature, wavelength-specific ocular protection).</w:t>
            </w:r>
          </w:p>
        </w:tc>
      </w:tr>
      <w:tr w:rsidR="00637C40" w14:paraId="6196C8A3" w14:textId="77777777" w:rsidTr="00F856E3">
        <w:tc>
          <w:tcPr>
            <w:tcW w:w="760" w:type="dxa"/>
          </w:tcPr>
          <w:p w14:paraId="7A5697C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400" w:type="dxa"/>
          </w:tcPr>
          <w:p w14:paraId="6709226D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Rationale for choosing the reference standard (if alternatives exist).</w:t>
            </w:r>
          </w:p>
        </w:tc>
        <w:tc>
          <w:tcPr>
            <w:tcW w:w="1010" w:type="dxa"/>
          </w:tcPr>
          <w:p w14:paraId="647AA2E9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FC8B363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2.5.1: consensus and systematic-review literature chosen as the authoritative criteria; where evidence shows the laser is adjunctive or not superior, confidently claimed unsupported superiority was penalised rather than rewarded.</w:t>
            </w:r>
          </w:p>
        </w:tc>
      </w:tr>
      <w:tr w:rsidR="00637C40" w14:paraId="2F7F1757" w14:textId="77777777" w:rsidTr="00F856E3">
        <w:tc>
          <w:tcPr>
            <w:tcW w:w="760" w:type="dxa"/>
          </w:tcPr>
          <w:p w14:paraId="709BEFB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12a</w:t>
            </w:r>
          </w:p>
        </w:tc>
        <w:tc>
          <w:tcPr>
            <w:tcW w:w="3400" w:type="dxa"/>
          </w:tcPr>
          <w:p w14:paraId="29489C98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Definition of and rationale for result categories of the index test, distinguishing prespecified from exploratory.</w:t>
            </w:r>
          </w:p>
        </w:tc>
        <w:tc>
          <w:tcPr>
            <w:tcW w:w="1010" w:type="dxa"/>
          </w:tcPr>
          <w:p w14:paraId="61AC4DF5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2A378892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2.5 and Table 2: prespecified 5-point Likert rubric per parameter; composite = mean of four; “dangerous” = any parameter ≤ 2 (Section 3.2). Response-length–score correlation flagged as post hoc / exploratory (Section 3.4).</w:t>
            </w:r>
          </w:p>
        </w:tc>
      </w:tr>
      <w:tr w:rsidR="00637C40" w14:paraId="7C163BB6" w14:textId="77777777" w:rsidTr="00F856E3">
        <w:tc>
          <w:tcPr>
            <w:tcW w:w="760" w:type="dxa"/>
          </w:tcPr>
          <w:p w14:paraId="39AF375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12b</w:t>
            </w:r>
          </w:p>
        </w:tc>
        <w:tc>
          <w:tcPr>
            <w:tcW w:w="3400" w:type="dxa"/>
          </w:tcPr>
          <w:p w14:paraId="11EA596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Definition of and rationale for result categories of the reference standard, distinguishing prespecified from exploratory.</w:t>
            </w:r>
          </w:p>
        </w:tc>
        <w:tc>
          <w:tcPr>
            <w:tcW w:w="1010" w:type="dxa"/>
          </w:tcPr>
          <w:p w14:paraId="667372C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606C09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2.5.1: per-vignette laser indication, recommended wavelength/parameters, safety thresholds, and expected outcome prespecified and consolidated before scoring.</w:t>
            </w:r>
          </w:p>
        </w:tc>
      </w:tr>
      <w:tr w:rsidR="00637C40" w14:paraId="6F2B5B44" w14:textId="77777777" w:rsidTr="00F856E3">
        <w:tc>
          <w:tcPr>
            <w:tcW w:w="760" w:type="dxa"/>
          </w:tcPr>
          <w:p w14:paraId="7BFDA86E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13a</w:t>
            </w:r>
          </w:p>
        </w:tc>
        <w:tc>
          <w:tcPr>
            <w:tcW w:w="3400" w:type="dxa"/>
          </w:tcPr>
          <w:p w14:paraId="4D3372C8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Whether clinical information and reference-standard results were available to the index test (the AI).</w:t>
            </w:r>
          </w:p>
        </w:tc>
        <w:tc>
          <w:tcPr>
            <w:tcW w:w="1010" w:type="dxa"/>
          </w:tcPr>
          <w:p w14:paraId="49C72F0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9633D16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2.4: each platform received only the standardized master prompt plus the vignette's clinical information; the reference standard was not provided to the platforms.</w:t>
            </w:r>
          </w:p>
        </w:tc>
      </w:tr>
      <w:tr w:rsidR="00637C40" w14:paraId="2AA15021" w14:textId="77777777" w:rsidTr="00F856E3">
        <w:tc>
          <w:tcPr>
            <w:tcW w:w="760" w:type="dxa"/>
          </w:tcPr>
          <w:p w14:paraId="6D593DA8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13b</w:t>
            </w:r>
          </w:p>
        </w:tc>
        <w:tc>
          <w:tcPr>
            <w:tcW w:w="3400" w:type="dxa"/>
          </w:tcPr>
          <w:p w14:paraId="139F3CE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Whether clinical information and index-test results were available to the assessors of the reference standard (the evaluators).</w:t>
            </w:r>
          </w:p>
        </w:tc>
        <w:tc>
          <w:tcPr>
            <w:tcW w:w="1010" w:type="dxa"/>
          </w:tcPr>
          <w:p w14:paraId="5EF0794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A689EC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2.5: evaluators saw the de-identified responses and the vignette but were blinded to platform identity; responses presented in randomized order; reference framework applied uniformly (Section 2.5.1). Partial blinding for Perplexity / OpenEvidence is noted.</w:t>
            </w:r>
          </w:p>
        </w:tc>
      </w:tr>
      <w:tr w:rsidR="00637C40" w14:paraId="53975B8B" w14:textId="77777777" w:rsidTr="00F856E3">
        <w:tc>
          <w:tcPr>
            <w:tcW w:w="9360" w:type="dxa"/>
            <w:gridSpan w:val="4"/>
          </w:tcPr>
          <w:p w14:paraId="098BCF2B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Methods – Analysis</w:t>
            </w:r>
          </w:p>
        </w:tc>
      </w:tr>
      <w:tr w:rsidR="00637C40" w14:paraId="0FCF4FBD" w14:textId="77777777" w:rsidTr="00F856E3">
        <w:tc>
          <w:tcPr>
            <w:tcW w:w="760" w:type="dxa"/>
          </w:tcPr>
          <w:p w14:paraId="709FC2C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400" w:type="dxa"/>
          </w:tcPr>
          <w:p w14:paraId="3C01347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Methods for estimating or comparing measures of diagnostic accuracy.</w:t>
            </w:r>
          </w:p>
        </w:tc>
        <w:tc>
          <w:tcPr>
            <w:tcW w:w="1010" w:type="dxa"/>
          </w:tcPr>
          <w:p w14:paraId="1546E57E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5BDEDCF3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2.6: Friedman (vignette as block), Conover post-hoc with Holm correction, Kendall's W; overall and within each clinical domain.</w:t>
            </w:r>
          </w:p>
        </w:tc>
      </w:tr>
      <w:tr w:rsidR="00637C40" w14:paraId="527D9309" w14:textId="77777777" w:rsidTr="00F856E3">
        <w:tc>
          <w:tcPr>
            <w:tcW w:w="760" w:type="dxa"/>
          </w:tcPr>
          <w:p w14:paraId="1F32C9F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3400" w:type="dxa"/>
          </w:tcPr>
          <w:p w14:paraId="7A7C0849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How indeterminate index test or reference standard results were handled.</w:t>
            </w:r>
          </w:p>
        </w:tc>
        <w:tc>
          <w:tcPr>
            <w:tcW w:w="1010" w:type="dxa"/>
          </w:tcPr>
          <w:p w14:paraId="0356D1C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34B9AF0F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2.5: two endodontic ratings recorded as absent/unscorable were conservatively assigned the scale floor (score 1); no other indeterminate results occurred.</w:t>
            </w:r>
          </w:p>
        </w:tc>
      </w:tr>
      <w:tr w:rsidR="00637C40" w14:paraId="1BE8BA0B" w14:textId="77777777" w:rsidTr="00F856E3">
        <w:tc>
          <w:tcPr>
            <w:tcW w:w="760" w:type="dxa"/>
          </w:tcPr>
          <w:p w14:paraId="367EB023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3400" w:type="dxa"/>
          </w:tcPr>
          <w:p w14:paraId="35380FD3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How missing data on the index test and reference standard were handled.</w:t>
            </w:r>
          </w:p>
        </w:tc>
        <w:tc>
          <w:tcPr>
            <w:tcW w:w="1010" w:type="dxa"/>
          </w:tcPr>
          <w:p w14:paraId="42C3D4B7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6DC439C2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 xml:space="preserve">Complete dataset – 120/120 responses and 480/480 parameter ratings (Section 3); no imputation </w:t>
            </w:r>
            <w:r>
              <w:rPr>
                <w:sz w:val="17"/>
                <w:szCs w:val="17"/>
              </w:rPr>
              <w:lastRenderedPageBreak/>
              <w:t>required beyond the two floor-assigned ratings (Section 2.5).</w:t>
            </w:r>
          </w:p>
        </w:tc>
      </w:tr>
      <w:tr w:rsidR="00637C40" w14:paraId="1AB1DF7D" w14:textId="77777777" w:rsidTr="00F856E3">
        <w:tc>
          <w:tcPr>
            <w:tcW w:w="760" w:type="dxa"/>
          </w:tcPr>
          <w:p w14:paraId="4A36077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lastRenderedPageBreak/>
              <w:t>17</w:t>
            </w:r>
          </w:p>
        </w:tc>
        <w:tc>
          <w:tcPr>
            <w:tcW w:w="3400" w:type="dxa"/>
          </w:tcPr>
          <w:p w14:paraId="15CA6244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Any analyses of variability in diagnostic accuracy, distinguishing prespecified from exploratory.</w:t>
            </w:r>
          </w:p>
        </w:tc>
        <w:tc>
          <w:tcPr>
            <w:tcW w:w="1010" w:type="dxa"/>
          </w:tcPr>
          <w:p w14:paraId="102876F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B6988CB" w14:textId="774F70D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 xml:space="preserve">Prespecified domain-stratified analyses (Sections 2.6, 3.3, Table 4). Blinded inter-examiner reliability calibration sub-study (Section 3.5; composite </w:t>
            </w:r>
            <w:proofErr w:type="gramStart"/>
            <w:r>
              <w:rPr>
                <w:sz w:val="17"/>
                <w:szCs w:val="17"/>
              </w:rPr>
              <w:t>ICC(</w:t>
            </w:r>
            <w:proofErr w:type="gramEnd"/>
            <w:r>
              <w:rPr>
                <w:sz w:val="17"/>
                <w:szCs w:val="17"/>
              </w:rPr>
              <w:t>2,1) = 0.85 and ICC(2,k) = 0.95 with 95% CIs, ordinal Krippendorff's alpha = 0.73, and 91.1% within-one-point agreement; full per-parameter breakdown in Online Resource 4, Table S13). Response-length–score association noted as post hoc (Section 3.4).</w:t>
            </w:r>
          </w:p>
        </w:tc>
      </w:tr>
      <w:tr w:rsidR="00637C40" w14:paraId="01F2B7EF" w14:textId="77777777" w:rsidTr="00F856E3">
        <w:tc>
          <w:tcPr>
            <w:tcW w:w="760" w:type="dxa"/>
          </w:tcPr>
          <w:p w14:paraId="34D78F1C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3400" w:type="dxa"/>
          </w:tcPr>
          <w:p w14:paraId="4C99F0B3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Intended sample size and how it was determined.</w:t>
            </w:r>
          </w:p>
        </w:tc>
        <w:tc>
          <w:tcPr>
            <w:tcW w:w="1010" w:type="dxa"/>
          </w:tcPr>
          <w:p w14:paraId="48B3E07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37B6FC1D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2.6 (a priori power, informed by the related implant-complications benchmarking study).</w:t>
            </w:r>
          </w:p>
        </w:tc>
      </w:tr>
      <w:tr w:rsidR="00637C40" w14:paraId="71F153A7" w14:textId="77777777" w:rsidTr="00F856E3">
        <w:tc>
          <w:tcPr>
            <w:tcW w:w="9360" w:type="dxa"/>
            <w:gridSpan w:val="4"/>
          </w:tcPr>
          <w:p w14:paraId="578705AB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Results – Participants</w:t>
            </w:r>
          </w:p>
        </w:tc>
      </w:tr>
      <w:tr w:rsidR="00637C40" w14:paraId="3A83EA61" w14:textId="77777777" w:rsidTr="00F856E3">
        <w:tc>
          <w:tcPr>
            <w:tcW w:w="760" w:type="dxa"/>
          </w:tcPr>
          <w:p w14:paraId="5223190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3400" w:type="dxa"/>
          </w:tcPr>
          <w:p w14:paraId="278479B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Flow of participants, using a diagram.</w:t>
            </w:r>
          </w:p>
        </w:tc>
        <w:tc>
          <w:tcPr>
            <w:tcW w:w="1010" w:type="dxa"/>
          </w:tcPr>
          <w:p w14:paraId="203E163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Partial</w:t>
            </w:r>
          </w:p>
        </w:tc>
        <w:tc>
          <w:tcPr>
            <w:tcW w:w="4190" w:type="dxa"/>
          </w:tcPr>
          <w:p w14:paraId="08E7AA7B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Numbers reported in text (5 platforms × 24 vignettes = 120 responses; Section 3); Fig. 1 is a study-design / workflow diagram rather than a STARD participant-flow diagram.</w:t>
            </w:r>
          </w:p>
        </w:tc>
      </w:tr>
      <w:tr w:rsidR="00637C40" w14:paraId="5B0CDC11" w14:textId="77777777" w:rsidTr="00F856E3">
        <w:tc>
          <w:tcPr>
            <w:tcW w:w="760" w:type="dxa"/>
          </w:tcPr>
          <w:p w14:paraId="71C35FD4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3400" w:type="dxa"/>
          </w:tcPr>
          <w:p w14:paraId="6F404AFD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Baseline demographic and clinical characteristics of participants/inputs.</w:t>
            </w:r>
          </w:p>
        </w:tc>
        <w:tc>
          <w:tcPr>
            <w:tcW w:w="1010" w:type="dxa"/>
          </w:tcPr>
          <w:p w14:paraId="1089B93C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E93E6E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Platform attributes: Table 1. Vignette demographic / clinical content (demographics, medical and dental history, clinical and radiographic findings) and three-domain coverage: Section 2.3 (full text, Online Resource 1).</w:t>
            </w:r>
          </w:p>
        </w:tc>
      </w:tr>
      <w:tr w:rsidR="00637C40" w14:paraId="06616652" w14:textId="77777777" w:rsidTr="00F856E3">
        <w:tc>
          <w:tcPr>
            <w:tcW w:w="760" w:type="dxa"/>
          </w:tcPr>
          <w:p w14:paraId="176356F6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21a</w:t>
            </w:r>
          </w:p>
        </w:tc>
        <w:tc>
          <w:tcPr>
            <w:tcW w:w="3400" w:type="dxa"/>
          </w:tcPr>
          <w:p w14:paraId="590BEC9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Distribution of severity of disease in those with the target condition.</w:t>
            </w:r>
          </w:p>
        </w:tc>
        <w:tc>
          <w:tcPr>
            <w:tcW w:w="1010" w:type="dxa"/>
          </w:tcPr>
          <w:p w14:paraId="398032CD" w14:textId="26C7CA76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0629A311" w14:textId="3DA8CE29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2.3: each vignette was classified before scoring by clinical complexity (low / moderate / high); the distribution of complexity levels across the three domains is now tabulated per vignette in Online Resource 4 (Table S11).</w:t>
            </w:r>
          </w:p>
        </w:tc>
      </w:tr>
      <w:tr w:rsidR="00637C40" w14:paraId="3E267815" w14:textId="77777777" w:rsidTr="00F856E3">
        <w:tc>
          <w:tcPr>
            <w:tcW w:w="760" w:type="dxa"/>
          </w:tcPr>
          <w:p w14:paraId="619F1288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21b</w:t>
            </w:r>
          </w:p>
        </w:tc>
        <w:tc>
          <w:tcPr>
            <w:tcW w:w="3400" w:type="dxa"/>
          </w:tcPr>
          <w:p w14:paraId="2E96D4D5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Distribution of alternative diagnoses in those without the target condition.</w:t>
            </w:r>
          </w:p>
        </w:tc>
        <w:tc>
          <w:tcPr>
            <w:tcW w:w="1010" w:type="dxa"/>
          </w:tcPr>
          <w:p w14:paraId="6B6FB8A8" w14:textId="73D6FAA4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380BF799" w14:textId="0FF9BDA9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By design the vignette set includes scenarios where laser therapy is, and is not, the appropriate choice (Sections 2.3, 2.4, 2.5.1). Each vignette is now classified by laser-appropriateness (clearly indicated, adjunctive only, or not indicated/contraindicated) with its principal non-laser alternative, and this distribution is enumerated per vignette in Online Resource 4 (Table S11).</w:t>
            </w:r>
          </w:p>
        </w:tc>
      </w:tr>
      <w:tr w:rsidR="00637C40" w14:paraId="3911F1E7" w14:textId="77777777" w:rsidTr="00F856E3">
        <w:tc>
          <w:tcPr>
            <w:tcW w:w="760" w:type="dxa"/>
          </w:tcPr>
          <w:p w14:paraId="64D98CC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3400" w:type="dxa"/>
          </w:tcPr>
          <w:p w14:paraId="08F99AC3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Time interval and any clinical interventions between index test and reference standard.</w:t>
            </w:r>
          </w:p>
        </w:tc>
        <w:tc>
          <w:tcPr>
            <w:tcW w:w="1010" w:type="dxa"/>
          </w:tcPr>
          <w:p w14:paraId="6AB2EBB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4190" w:type="dxa"/>
          </w:tcPr>
          <w:p w14:paraId="6D0A23F2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In-silico design with a fixed reference standard; no temporal interval or intervening clinical care applies.</w:t>
            </w:r>
          </w:p>
        </w:tc>
      </w:tr>
      <w:tr w:rsidR="00637C40" w14:paraId="60E4FCE0" w14:textId="77777777" w:rsidTr="00F856E3">
        <w:tc>
          <w:tcPr>
            <w:tcW w:w="9360" w:type="dxa"/>
            <w:gridSpan w:val="4"/>
          </w:tcPr>
          <w:p w14:paraId="0079EF7B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Results – Test results</w:t>
            </w:r>
          </w:p>
        </w:tc>
      </w:tr>
      <w:tr w:rsidR="00637C40" w14:paraId="59FBE26C" w14:textId="77777777" w:rsidTr="00F856E3">
        <w:tc>
          <w:tcPr>
            <w:tcW w:w="760" w:type="dxa"/>
          </w:tcPr>
          <w:p w14:paraId="4BC60A3F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3400" w:type="dxa"/>
          </w:tcPr>
          <w:p w14:paraId="0783F545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Cross-tabulation of the index test results (or their distribution) by the results of the reference standard.</w:t>
            </w:r>
          </w:p>
        </w:tc>
        <w:tc>
          <w:tcPr>
            <w:tcW w:w="1010" w:type="dxa"/>
          </w:tcPr>
          <w:p w14:paraId="6C651E7F" w14:textId="39EBB36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7E4FE472" w14:textId="7AEDA9CC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The full frequency distribution of individual Likert ratings (each score 1 to 5) by platform and parameter against the common reference standard is now provided in Online Resource 4 (Table S12) and referenced in Section 3.1; this is the ordinal counterpart of the 2×2 cross-tabulation used for binary index tests, appropriate to the expert-rating design.</w:t>
            </w:r>
          </w:p>
        </w:tc>
      </w:tr>
      <w:tr w:rsidR="00637C40" w14:paraId="72CF1021" w14:textId="77777777" w:rsidTr="00F856E3">
        <w:tc>
          <w:tcPr>
            <w:tcW w:w="760" w:type="dxa"/>
          </w:tcPr>
          <w:p w14:paraId="2F2A309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3400" w:type="dxa"/>
          </w:tcPr>
          <w:p w14:paraId="0095CA4D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Estimates of diagnostic accuracy and their precision (such as 95% CIs).</w:t>
            </w:r>
          </w:p>
        </w:tc>
        <w:tc>
          <w:tcPr>
            <w:tcW w:w="1010" w:type="dxa"/>
          </w:tcPr>
          <w:p w14:paraId="0D7E921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BB82778" w14:textId="0A97FA2A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 xml:space="preserve">Per-platform means with 95% CI and composite median/IQR, plus % dangerous and % excellent (Table 3); inter-platform comparisons with Kendall's W and Holm-corrected post-hoc tests (Section 3.1, Table 4, Online Resource 4). Reliability point estimates are reported with 95% CIs: composite </w:t>
            </w:r>
            <w:proofErr w:type="gramStart"/>
            <w:r>
              <w:rPr>
                <w:sz w:val="17"/>
                <w:szCs w:val="17"/>
              </w:rPr>
              <w:t>ICC(</w:t>
            </w:r>
            <w:proofErr w:type="gramEnd"/>
            <w:r>
              <w:rPr>
                <w:sz w:val="17"/>
                <w:szCs w:val="17"/>
              </w:rPr>
              <w:t>2,1) = 0.85 (0.69–0.94) and ICC(2,k) = 0.95 (0.87–0.98), Krippendorff's alpha = 0.73, and exact 69.4% / within-one-point 91.1% agreement (Section 3.5; Online Resource 4, Table S13).</w:t>
            </w:r>
          </w:p>
        </w:tc>
      </w:tr>
      <w:tr w:rsidR="00637C40" w14:paraId="6F5BACC1" w14:textId="77777777" w:rsidTr="00F856E3">
        <w:tc>
          <w:tcPr>
            <w:tcW w:w="760" w:type="dxa"/>
          </w:tcPr>
          <w:p w14:paraId="0CAAA8F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3400" w:type="dxa"/>
          </w:tcPr>
          <w:p w14:paraId="0A1FEF35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Any adverse events from performing the index test or the reference standard.</w:t>
            </w:r>
          </w:p>
        </w:tc>
        <w:tc>
          <w:tcPr>
            <w:tcW w:w="1010" w:type="dxa"/>
          </w:tcPr>
          <w:p w14:paraId="06288CF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4190" w:type="dxa"/>
          </w:tcPr>
          <w:p w14:paraId="5CB38E0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 clinical adverse events (in-silico). The conceptually analogous “potentially dangerous” response rate (0% for OpenEvidence to 54.2% for Perplexity) is reported in Sections 3.2 and 4 as the principal safety signal.</w:t>
            </w:r>
          </w:p>
        </w:tc>
      </w:tr>
      <w:tr w:rsidR="00637C40" w14:paraId="203860DE" w14:textId="77777777" w:rsidTr="00F856E3">
        <w:tc>
          <w:tcPr>
            <w:tcW w:w="9360" w:type="dxa"/>
            <w:gridSpan w:val="4"/>
          </w:tcPr>
          <w:p w14:paraId="2AFF53A3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t>Discussion</w:t>
            </w:r>
          </w:p>
        </w:tc>
      </w:tr>
      <w:tr w:rsidR="00637C40" w14:paraId="37A2206F" w14:textId="77777777" w:rsidTr="00F856E3">
        <w:tc>
          <w:tcPr>
            <w:tcW w:w="760" w:type="dxa"/>
          </w:tcPr>
          <w:p w14:paraId="2DE8F785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3400" w:type="dxa"/>
          </w:tcPr>
          <w:p w14:paraId="5D6C7F1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Study limitations, including sources of potential bias, statistical uncertainty, and generalisability.</w:t>
            </w:r>
          </w:p>
        </w:tc>
        <w:tc>
          <w:tcPr>
            <w:tcW w:w="1010" w:type="dxa"/>
          </w:tcPr>
          <w:p w14:paraId="26552E3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2CD9B93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Section 4 limitations paragraph: in-silico text-only synthetic vignettes; single matched evaluator per domain; single query / snapshot of evolving products; Claude's dual role; single prompt and no replicate generations.</w:t>
            </w:r>
          </w:p>
        </w:tc>
      </w:tr>
      <w:tr w:rsidR="00637C40" w14:paraId="0B428780" w14:textId="77777777" w:rsidTr="00F856E3">
        <w:tc>
          <w:tcPr>
            <w:tcW w:w="760" w:type="dxa"/>
          </w:tcPr>
          <w:p w14:paraId="61C30C6D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3400" w:type="dxa"/>
          </w:tcPr>
          <w:p w14:paraId="12C0A41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Implications for practice, including the intended use and clinical role of the index test.</w:t>
            </w:r>
          </w:p>
        </w:tc>
        <w:tc>
          <w:tcPr>
            <w:tcW w:w="1010" w:type="dxa"/>
          </w:tcPr>
          <w:p w14:paraId="0363CED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2701CDD7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 xml:space="preserve">Sections 4 and 5: retrieval-augmented and leading general-purpose platforms positioned as supervised clinical adjuncts, not autonomous decision makers; </w:t>
            </w:r>
            <w:r>
              <w:rPr>
                <w:sz w:val="17"/>
                <w:szCs w:val="17"/>
              </w:rPr>
              <w:lastRenderedPageBreak/>
              <w:t>every recommendation to be verified against current evidence; the wide spread in dangerous responses argues against unsupervised use.</w:t>
            </w:r>
          </w:p>
        </w:tc>
      </w:tr>
      <w:tr w:rsidR="00637C40" w14:paraId="618F47E9" w14:textId="77777777" w:rsidTr="00F856E3">
        <w:tc>
          <w:tcPr>
            <w:tcW w:w="9360" w:type="dxa"/>
            <w:gridSpan w:val="4"/>
          </w:tcPr>
          <w:p w14:paraId="1254FD8A" w14:textId="77777777" w:rsidR="00637C40" w:rsidRDefault="00000000">
            <w:pPr>
              <w:spacing w:line="230" w:lineRule="auto"/>
            </w:pPr>
            <w:r>
              <w:rPr>
                <w:b/>
                <w:bCs/>
                <w:sz w:val="17"/>
                <w:szCs w:val="17"/>
              </w:rPr>
              <w:lastRenderedPageBreak/>
              <w:t>Other information</w:t>
            </w:r>
          </w:p>
        </w:tc>
      </w:tr>
      <w:tr w:rsidR="00637C40" w14:paraId="0D752ECC" w14:textId="77777777" w:rsidTr="00F856E3">
        <w:tc>
          <w:tcPr>
            <w:tcW w:w="760" w:type="dxa"/>
          </w:tcPr>
          <w:p w14:paraId="50C69900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3400" w:type="dxa"/>
          </w:tcPr>
          <w:p w14:paraId="6DE8694B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Registration number and name of registry.</w:t>
            </w:r>
          </w:p>
        </w:tc>
        <w:tc>
          <w:tcPr>
            <w:tcW w:w="1010" w:type="dxa"/>
          </w:tcPr>
          <w:p w14:paraId="081C495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4190" w:type="dxa"/>
          </w:tcPr>
          <w:p w14:paraId="4036B2C6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Not reported – the study was not prospectively registered (in-silico study using synthetic data).</w:t>
            </w:r>
          </w:p>
        </w:tc>
      </w:tr>
      <w:tr w:rsidR="00637C40" w14:paraId="31A2749A" w14:textId="77777777" w:rsidTr="00F856E3">
        <w:tc>
          <w:tcPr>
            <w:tcW w:w="760" w:type="dxa"/>
          </w:tcPr>
          <w:p w14:paraId="63910BEB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3400" w:type="dxa"/>
          </w:tcPr>
          <w:p w14:paraId="4E831EF8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Where the full study protocol can be accessed.</w:t>
            </w:r>
          </w:p>
        </w:tc>
        <w:tc>
          <w:tcPr>
            <w:tcW w:w="1010" w:type="dxa"/>
          </w:tcPr>
          <w:p w14:paraId="1747FFD1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02DA1BC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Statements and Declarations – Data Availability; Online Resource 1–4 provide the vignettes, complete platform responses, reference standard, and statistical tables; further data available from the corresponding author on reasonable request.</w:t>
            </w:r>
          </w:p>
        </w:tc>
      </w:tr>
      <w:tr w:rsidR="00637C40" w14:paraId="50685CA2" w14:textId="77777777" w:rsidTr="00F856E3">
        <w:tc>
          <w:tcPr>
            <w:tcW w:w="760" w:type="dxa"/>
          </w:tcPr>
          <w:p w14:paraId="4060007A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3400" w:type="dxa"/>
          </w:tcPr>
          <w:p w14:paraId="3DFF1B91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Sources of funding and other support; role of funders.</w:t>
            </w:r>
          </w:p>
        </w:tc>
        <w:tc>
          <w:tcPr>
            <w:tcW w:w="1010" w:type="dxa"/>
          </w:tcPr>
          <w:p w14:paraId="7ED15BF2" w14:textId="77777777" w:rsidR="00637C40" w:rsidRDefault="00000000">
            <w:pPr>
              <w:spacing w:line="230" w:lineRule="auto"/>
              <w:jc w:val="center"/>
            </w:pPr>
            <w:r>
              <w:rPr>
                <w:b/>
                <w:bCs/>
                <w:sz w:val="17"/>
                <w:szCs w:val="17"/>
              </w:rPr>
              <w:t>Yes</w:t>
            </w:r>
          </w:p>
        </w:tc>
        <w:tc>
          <w:tcPr>
            <w:tcW w:w="4190" w:type="dxa"/>
          </w:tcPr>
          <w:p w14:paraId="40C13DB0" w14:textId="77777777" w:rsidR="00637C40" w:rsidRDefault="00000000">
            <w:pPr>
              <w:spacing w:line="230" w:lineRule="auto"/>
            </w:pPr>
            <w:r>
              <w:rPr>
                <w:sz w:val="17"/>
                <w:szCs w:val="17"/>
              </w:rPr>
              <w:t>Statements and Declarations – Funding (no funding / specific grant); Declaration of AI Use; Competing Interests.</w:t>
            </w:r>
          </w:p>
        </w:tc>
      </w:tr>
    </w:tbl>
    <w:p w14:paraId="4EB68892" w14:textId="77777777" w:rsidR="00B967DE" w:rsidRDefault="00B967DE"/>
    <w:sectPr w:rsidR="00B967DE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427B"/>
    <w:multiLevelType w:val="hybridMultilevel"/>
    <w:tmpl w:val="45B6DEF8"/>
    <w:lvl w:ilvl="0" w:tplc="5DF64200">
      <w:start w:val="1"/>
      <w:numFmt w:val="bullet"/>
      <w:lvlText w:val="●"/>
      <w:lvlJc w:val="left"/>
      <w:pPr>
        <w:ind w:left="720" w:hanging="360"/>
      </w:pPr>
    </w:lvl>
    <w:lvl w:ilvl="1" w:tplc="5FE65734">
      <w:start w:val="1"/>
      <w:numFmt w:val="bullet"/>
      <w:lvlText w:val="○"/>
      <w:lvlJc w:val="left"/>
      <w:pPr>
        <w:ind w:left="1440" w:hanging="360"/>
      </w:pPr>
    </w:lvl>
    <w:lvl w:ilvl="2" w:tplc="D4182298">
      <w:start w:val="1"/>
      <w:numFmt w:val="bullet"/>
      <w:lvlText w:val="■"/>
      <w:lvlJc w:val="left"/>
      <w:pPr>
        <w:ind w:left="2160" w:hanging="360"/>
      </w:pPr>
    </w:lvl>
    <w:lvl w:ilvl="3" w:tplc="964A4284">
      <w:start w:val="1"/>
      <w:numFmt w:val="bullet"/>
      <w:lvlText w:val="●"/>
      <w:lvlJc w:val="left"/>
      <w:pPr>
        <w:ind w:left="2880" w:hanging="360"/>
      </w:pPr>
    </w:lvl>
    <w:lvl w:ilvl="4" w:tplc="20769644">
      <w:start w:val="1"/>
      <w:numFmt w:val="bullet"/>
      <w:lvlText w:val="○"/>
      <w:lvlJc w:val="left"/>
      <w:pPr>
        <w:ind w:left="3600" w:hanging="360"/>
      </w:pPr>
    </w:lvl>
    <w:lvl w:ilvl="5" w:tplc="44C49DBA">
      <w:start w:val="1"/>
      <w:numFmt w:val="bullet"/>
      <w:lvlText w:val="■"/>
      <w:lvlJc w:val="left"/>
      <w:pPr>
        <w:ind w:left="4320" w:hanging="360"/>
      </w:pPr>
    </w:lvl>
    <w:lvl w:ilvl="6" w:tplc="66A6555E">
      <w:start w:val="1"/>
      <w:numFmt w:val="bullet"/>
      <w:lvlText w:val="●"/>
      <w:lvlJc w:val="left"/>
      <w:pPr>
        <w:ind w:left="5040" w:hanging="360"/>
      </w:pPr>
    </w:lvl>
    <w:lvl w:ilvl="7" w:tplc="90546ECE">
      <w:start w:val="1"/>
      <w:numFmt w:val="bullet"/>
      <w:lvlText w:val="●"/>
      <w:lvlJc w:val="left"/>
      <w:pPr>
        <w:ind w:left="5760" w:hanging="360"/>
      </w:pPr>
    </w:lvl>
    <w:lvl w:ilvl="8" w:tplc="49909AD8">
      <w:start w:val="1"/>
      <w:numFmt w:val="bullet"/>
      <w:lvlText w:val="●"/>
      <w:lvlJc w:val="left"/>
      <w:pPr>
        <w:ind w:left="6480" w:hanging="360"/>
      </w:pPr>
    </w:lvl>
  </w:abstractNum>
  <w:num w:numId="1" w16cid:durableId="3548867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C40"/>
    <w:rsid w:val="002102C9"/>
    <w:rsid w:val="004F704F"/>
    <w:rsid w:val="00637C40"/>
    <w:rsid w:val="00B967DE"/>
    <w:rsid w:val="00D65EAF"/>
    <w:rsid w:val="00D81B9F"/>
    <w:rsid w:val="00E4590E"/>
    <w:rsid w:val="00F113CF"/>
    <w:rsid w:val="00F8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A1CE8"/>
  <w15:docId w15:val="{DE063B60-F4F9-444D-BA1B-A675AFA1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3864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F85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3847</Words>
  <Characters>19240</Characters>
  <Application>Microsoft Office Word</Application>
  <DocSecurity>0</DocSecurity>
  <Lines>160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יניב מאייר</cp:lastModifiedBy>
  <cp:revision>3</cp:revision>
  <dcterms:created xsi:type="dcterms:W3CDTF">2026-06-30T08:24:00Z</dcterms:created>
  <dcterms:modified xsi:type="dcterms:W3CDTF">2026-06-30T19:53:00Z</dcterms:modified>
</cp:coreProperties>
</file>