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DB6E" w14:textId="060672E5" w:rsidR="00D418C6" w:rsidRPr="0092467E" w:rsidRDefault="0092467E" w:rsidP="0092467E">
      <w:pPr>
        <w:spacing w:after="40"/>
        <w:jc w:val="center"/>
        <w:rPr>
          <w:sz w:val="24"/>
          <w:szCs w:val="24"/>
        </w:rPr>
      </w:pPr>
      <w:r w:rsidRPr="0092467E">
        <w:rPr>
          <w:b/>
          <w:sz w:val="24"/>
          <w:szCs w:val="24"/>
        </w:rPr>
        <w:t>Supplementary No. 3</w:t>
      </w:r>
    </w:p>
    <w:p w14:paraId="0D5BB41A" w14:textId="77777777" w:rsidR="00D418C6" w:rsidRPr="0092467E" w:rsidRDefault="00000000" w:rsidP="0092467E">
      <w:pPr>
        <w:spacing w:after="40"/>
        <w:jc w:val="center"/>
        <w:rPr>
          <w:sz w:val="24"/>
          <w:szCs w:val="24"/>
        </w:rPr>
      </w:pPr>
      <w:r w:rsidRPr="0092467E">
        <w:rPr>
          <w:b/>
          <w:sz w:val="24"/>
          <w:szCs w:val="24"/>
        </w:rPr>
        <w:t>Reference Standard and Per-Vignette Evidence Anchors</w:t>
      </w:r>
    </w:p>
    <w:p w14:paraId="71299703" w14:textId="77777777" w:rsidR="0092467E" w:rsidRPr="0092467E" w:rsidRDefault="0092467E">
      <w:pPr>
        <w:spacing w:after="160"/>
        <w:rPr>
          <w:sz w:val="24"/>
          <w:szCs w:val="24"/>
        </w:rPr>
      </w:pPr>
    </w:p>
    <w:p w14:paraId="34EC37CF" w14:textId="46FCF401" w:rsidR="00D418C6" w:rsidRPr="0092467E" w:rsidRDefault="00000000">
      <w:pPr>
        <w:spacing w:after="160"/>
        <w:rPr>
          <w:sz w:val="24"/>
          <w:szCs w:val="24"/>
        </w:rPr>
      </w:pPr>
      <w:r w:rsidRPr="0092467E">
        <w:rPr>
          <w:sz w:val="24"/>
          <w:szCs w:val="24"/>
        </w:rPr>
        <w:t>This file gives the benchmark against which the blinded evaluators scored each platform response. For every vignette it states the expected evidence-based laser approach (the “ideal-answer” direction, including key parameters where well established) and the anchor reference(s) to check against, keyed to the Master Reference List below. A response that contradicts the expected direction, invents parameters, or omits a safety threshold loses marks on the relevant parameter.</w:t>
      </w:r>
    </w:p>
    <w:p w14:paraId="6525BF36" w14:textId="77777777" w:rsidR="00D418C6" w:rsidRPr="0092467E" w:rsidRDefault="00000000">
      <w:pPr>
        <w:spacing w:before="200" w:after="100"/>
        <w:rPr>
          <w:sz w:val="24"/>
          <w:szCs w:val="24"/>
        </w:rPr>
      </w:pPr>
      <w:r w:rsidRPr="0092467E">
        <w:rPr>
          <w:b/>
          <w:sz w:val="24"/>
          <w:szCs w:val="24"/>
        </w:rPr>
        <w:t>Calibration notes for evaluators</w:t>
      </w:r>
    </w:p>
    <w:p w14:paraId="7425719A" w14:textId="24241119" w:rsidR="00D418C6" w:rsidRPr="0092467E" w:rsidRDefault="00000000">
      <w:pPr>
        <w:spacing w:after="80"/>
        <w:ind w:left="360"/>
        <w:rPr>
          <w:sz w:val="24"/>
          <w:szCs w:val="24"/>
        </w:rPr>
      </w:pPr>
      <w:r w:rsidRPr="0092467E">
        <w:rPr>
          <w:sz w:val="24"/>
          <w:szCs w:val="24"/>
        </w:rPr>
        <w:t xml:space="preserve">•  Thermal safety threshold: an intrapulpal temperature rise of </w:t>
      </w:r>
      <w:r w:rsidR="0092467E" w:rsidRPr="0092467E">
        <w:rPr>
          <w:rFonts w:cs="Times New Roman"/>
          <w:sz w:val="24"/>
          <w:szCs w:val="24"/>
        </w:rPr>
        <w:t>≥</w:t>
      </w:r>
      <w:r w:rsidRPr="0092467E">
        <w:rPr>
          <w:sz w:val="24"/>
          <w:szCs w:val="24"/>
        </w:rPr>
        <w:t xml:space="preserve"> 5.5-5.6 C is the accepted threshold for irreversible pulp damage (Zach &amp; Cohen). Any protocol that ignores cooling or risks exceeding this loses Safety marks.</w:t>
      </w:r>
    </w:p>
    <w:p w14:paraId="5B840BDE" w14:textId="77777777" w:rsidR="00D418C6" w:rsidRPr="0092467E" w:rsidRDefault="00000000">
      <w:pPr>
        <w:spacing w:after="80"/>
        <w:ind w:left="360"/>
        <w:rPr>
          <w:sz w:val="24"/>
          <w:szCs w:val="24"/>
        </w:rPr>
      </w:pPr>
      <w:r w:rsidRPr="0092467E">
        <w:rPr>
          <w:sz w:val="24"/>
          <w:szCs w:val="24"/>
        </w:rPr>
        <w:t xml:space="preserve">•  Ocular safety: wavelength-specific protective eyewear for </w:t>
      </w:r>
      <w:proofErr w:type="gramStart"/>
      <w:r w:rsidRPr="0092467E">
        <w:rPr>
          <w:sz w:val="24"/>
          <w:szCs w:val="24"/>
        </w:rPr>
        <w:t>patient</w:t>
      </w:r>
      <w:proofErr w:type="gramEnd"/>
      <w:r w:rsidRPr="0092467E">
        <w:rPr>
          <w:sz w:val="24"/>
          <w:szCs w:val="24"/>
        </w:rPr>
        <w:t xml:space="preserve">, </w:t>
      </w:r>
      <w:proofErr w:type="gramStart"/>
      <w:r w:rsidRPr="0092467E">
        <w:rPr>
          <w:sz w:val="24"/>
          <w:szCs w:val="24"/>
        </w:rPr>
        <w:t>operator</w:t>
      </w:r>
      <w:proofErr w:type="gramEnd"/>
      <w:r w:rsidRPr="0092467E">
        <w:rPr>
          <w:sz w:val="24"/>
          <w:szCs w:val="24"/>
        </w:rPr>
        <w:t xml:space="preserve">, and </w:t>
      </w:r>
      <w:proofErr w:type="gramStart"/>
      <w:r w:rsidRPr="0092467E">
        <w:rPr>
          <w:sz w:val="24"/>
          <w:szCs w:val="24"/>
        </w:rPr>
        <w:t>team is</w:t>
      </w:r>
      <w:proofErr w:type="gramEnd"/>
      <w:r w:rsidRPr="0092467E">
        <w:rPr>
          <w:sz w:val="24"/>
          <w:szCs w:val="24"/>
        </w:rPr>
        <w:t xml:space="preserve"> mandatory for every laser procedure; its omission is a Safety deduction.</w:t>
      </w:r>
    </w:p>
    <w:p w14:paraId="73C82547" w14:textId="77777777" w:rsidR="00D418C6" w:rsidRPr="0092467E" w:rsidRDefault="00000000">
      <w:pPr>
        <w:spacing w:after="80"/>
        <w:ind w:left="360"/>
        <w:rPr>
          <w:sz w:val="24"/>
          <w:szCs w:val="24"/>
        </w:rPr>
      </w:pPr>
      <w:r w:rsidRPr="0092467E">
        <w:rPr>
          <w:sz w:val="24"/>
          <w:szCs w:val="24"/>
        </w:rPr>
        <w:t>•  Adjunctive, not superior: for several scenarios the honest evidence-based answer is that the laser is adjunctive or not superior to the conventional approach. Confidently claiming superiority where the evidence does not support it is an Accuracy/Hallucination problem, not a strength.</w:t>
      </w:r>
    </w:p>
    <w:p w14:paraId="604B08A1" w14:textId="77777777" w:rsidR="00D418C6" w:rsidRPr="0092467E" w:rsidRDefault="00000000">
      <w:pPr>
        <w:spacing w:after="80"/>
        <w:ind w:left="360"/>
        <w:rPr>
          <w:sz w:val="24"/>
          <w:szCs w:val="24"/>
        </w:rPr>
      </w:pPr>
      <w:r w:rsidRPr="0092467E">
        <w:rPr>
          <w:sz w:val="24"/>
          <w:szCs w:val="24"/>
        </w:rPr>
        <w:t>•  Parameter ranges are evidence-derived reference points, not rigid cut-offs; clinically reasonable values consistent with the cited sources score full marks.</w:t>
      </w:r>
    </w:p>
    <w:p w14:paraId="399701CC" w14:textId="12DD0BFE" w:rsidR="00D418C6" w:rsidRPr="0092467E" w:rsidRDefault="00000000">
      <w:pPr>
        <w:spacing w:before="200" w:after="100"/>
        <w:rPr>
          <w:sz w:val="24"/>
          <w:szCs w:val="24"/>
        </w:rPr>
      </w:pPr>
      <w:r w:rsidRPr="0092467E">
        <w:rPr>
          <w:b/>
          <w:sz w:val="24"/>
          <w:szCs w:val="24"/>
        </w:rPr>
        <w:t xml:space="preserve">Category A </w:t>
      </w:r>
      <w:r w:rsidR="0092467E" w:rsidRPr="0092467E">
        <w:rPr>
          <w:b/>
          <w:sz w:val="24"/>
          <w:szCs w:val="24"/>
        </w:rPr>
        <w:t>-</w:t>
      </w:r>
      <w:r w:rsidRPr="0092467E">
        <w:rPr>
          <w:b/>
          <w:sz w:val="24"/>
          <w:szCs w:val="24"/>
        </w:rPr>
        <w:t xml:space="preserve"> Periodontal / Surgical</w:t>
      </w:r>
    </w:p>
    <w:tbl>
      <w:tblPr>
        <w:tblStyle w:val="TableGrid"/>
        <w:tblW w:w="9198" w:type="dxa"/>
        <w:tblLook w:val="04A0" w:firstRow="1" w:lastRow="0" w:firstColumn="1" w:lastColumn="0" w:noHBand="0" w:noVBand="1"/>
      </w:tblPr>
      <w:tblGrid>
        <w:gridCol w:w="489"/>
        <w:gridCol w:w="7092"/>
        <w:gridCol w:w="1617"/>
      </w:tblGrid>
      <w:tr w:rsidR="00D418C6" w:rsidRPr="0092467E" w14:paraId="0DF71821" w14:textId="77777777" w:rsidTr="0092467E">
        <w:tc>
          <w:tcPr>
            <w:tcW w:w="489" w:type="dxa"/>
          </w:tcPr>
          <w:p w14:paraId="712CCBDE" w14:textId="77777777" w:rsidR="00D418C6" w:rsidRPr="0092467E" w:rsidRDefault="00000000">
            <w:pPr>
              <w:rPr>
                <w:sz w:val="24"/>
                <w:szCs w:val="24"/>
              </w:rPr>
            </w:pPr>
            <w:r w:rsidRPr="0092467E">
              <w:rPr>
                <w:b/>
                <w:sz w:val="24"/>
                <w:szCs w:val="24"/>
              </w:rPr>
              <w:t>#</w:t>
            </w:r>
          </w:p>
        </w:tc>
        <w:tc>
          <w:tcPr>
            <w:tcW w:w="7092" w:type="dxa"/>
          </w:tcPr>
          <w:p w14:paraId="5E95FEE7" w14:textId="77777777" w:rsidR="00D418C6" w:rsidRPr="0092467E" w:rsidRDefault="00000000">
            <w:pPr>
              <w:rPr>
                <w:sz w:val="24"/>
                <w:szCs w:val="24"/>
              </w:rPr>
            </w:pPr>
            <w:r w:rsidRPr="0092467E">
              <w:rPr>
                <w:b/>
                <w:sz w:val="24"/>
                <w:szCs w:val="24"/>
              </w:rPr>
              <w:t>Expected evidence-based approach &amp; key parameters (reference standard)</w:t>
            </w:r>
          </w:p>
        </w:tc>
        <w:tc>
          <w:tcPr>
            <w:tcW w:w="1617" w:type="dxa"/>
          </w:tcPr>
          <w:p w14:paraId="3B60DC7A" w14:textId="77777777" w:rsidR="00D418C6" w:rsidRPr="0092467E" w:rsidRDefault="00000000">
            <w:pPr>
              <w:rPr>
                <w:sz w:val="24"/>
                <w:szCs w:val="24"/>
              </w:rPr>
            </w:pPr>
            <w:r w:rsidRPr="0092467E">
              <w:rPr>
                <w:b/>
                <w:sz w:val="24"/>
                <w:szCs w:val="24"/>
              </w:rPr>
              <w:t>Anchor refs</w:t>
            </w:r>
          </w:p>
        </w:tc>
      </w:tr>
      <w:tr w:rsidR="00D418C6" w:rsidRPr="0092467E" w14:paraId="10E94140" w14:textId="77777777" w:rsidTr="0092467E">
        <w:tc>
          <w:tcPr>
            <w:tcW w:w="489" w:type="dxa"/>
          </w:tcPr>
          <w:p w14:paraId="5B655B5D" w14:textId="77777777" w:rsidR="00D418C6" w:rsidRPr="0092467E" w:rsidRDefault="00000000">
            <w:pPr>
              <w:rPr>
                <w:sz w:val="24"/>
                <w:szCs w:val="24"/>
              </w:rPr>
            </w:pPr>
            <w:r w:rsidRPr="0092467E">
              <w:rPr>
                <w:b/>
                <w:sz w:val="24"/>
                <w:szCs w:val="24"/>
              </w:rPr>
              <w:t>1</w:t>
            </w:r>
          </w:p>
        </w:tc>
        <w:tc>
          <w:tcPr>
            <w:tcW w:w="7092" w:type="dxa"/>
          </w:tcPr>
          <w:p w14:paraId="5A6EF386" w14:textId="77777777" w:rsidR="00D418C6" w:rsidRPr="0092467E" w:rsidRDefault="00000000">
            <w:pPr>
              <w:rPr>
                <w:sz w:val="24"/>
                <w:szCs w:val="24"/>
              </w:rPr>
            </w:pPr>
            <w:r w:rsidRPr="0092467E">
              <w:rPr>
                <w:sz w:val="24"/>
                <w:szCs w:val="24"/>
              </w:rPr>
              <w:t>Diode (810–980 nm) as an adjunct to SRP. Evidence is mixed: meta-analyses show at most a small adjunctive PD/BOP benefit, mainly in deeper/residual pockets, and it is NOT a substitute for SRP. Typical reported parameters: 810–980 nm, ~0.8–2.5 W, 10–60 Hz, 300 µm–1 mm fiber. A strong answer is appropriately cautious about magnitude of benefit.</w:t>
            </w:r>
          </w:p>
        </w:tc>
        <w:tc>
          <w:tcPr>
            <w:tcW w:w="1617" w:type="dxa"/>
          </w:tcPr>
          <w:p w14:paraId="6D81355E" w14:textId="77777777" w:rsidR="00D418C6" w:rsidRPr="0092467E" w:rsidRDefault="00000000">
            <w:pPr>
              <w:rPr>
                <w:sz w:val="24"/>
                <w:szCs w:val="24"/>
              </w:rPr>
            </w:pPr>
            <w:r w:rsidRPr="0092467E">
              <w:rPr>
                <w:sz w:val="24"/>
                <w:szCs w:val="24"/>
              </w:rPr>
              <w:t>5, 6, 7, 2</w:t>
            </w:r>
          </w:p>
        </w:tc>
      </w:tr>
      <w:tr w:rsidR="00D418C6" w:rsidRPr="0092467E" w14:paraId="35E1A752" w14:textId="77777777" w:rsidTr="0092467E">
        <w:tc>
          <w:tcPr>
            <w:tcW w:w="489" w:type="dxa"/>
          </w:tcPr>
          <w:p w14:paraId="5F78EF84" w14:textId="77777777" w:rsidR="00D418C6" w:rsidRPr="0092467E" w:rsidRDefault="00000000">
            <w:pPr>
              <w:rPr>
                <w:sz w:val="24"/>
                <w:szCs w:val="24"/>
              </w:rPr>
            </w:pPr>
            <w:r w:rsidRPr="0092467E">
              <w:rPr>
                <w:b/>
                <w:sz w:val="24"/>
                <w:szCs w:val="24"/>
              </w:rPr>
              <w:t>2</w:t>
            </w:r>
          </w:p>
        </w:tc>
        <w:tc>
          <w:tcPr>
            <w:tcW w:w="7092" w:type="dxa"/>
          </w:tcPr>
          <w:p w14:paraId="3D898ECB" w14:textId="77777777" w:rsidR="00D418C6" w:rsidRPr="0092467E" w:rsidRDefault="00000000">
            <w:pPr>
              <w:rPr>
                <w:sz w:val="24"/>
                <w:szCs w:val="24"/>
              </w:rPr>
            </w:pPr>
            <w:r w:rsidRPr="0092467E">
              <w:rPr>
                <w:sz w:val="24"/>
                <w:szCs w:val="24"/>
              </w:rPr>
              <w:t>Antimicrobial photodynamic therapy: photosensitizer (methylene/toluidine blue) with ~660–670 nm low-level diode light, after mechanical debridement. Evidence supports a modest adjunctive BOP/PD improvement at residual pockets; advantage is avoidance of antibiotic resistance. Single vs repeated applications both described.</w:t>
            </w:r>
          </w:p>
        </w:tc>
        <w:tc>
          <w:tcPr>
            <w:tcW w:w="1617" w:type="dxa"/>
          </w:tcPr>
          <w:p w14:paraId="6137D48A" w14:textId="77777777" w:rsidR="00D418C6" w:rsidRPr="0092467E" w:rsidRDefault="00000000">
            <w:pPr>
              <w:rPr>
                <w:sz w:val="24"/>
                <w:szCs w:val="24"/>
              </w:rPr>
            </w:pPr>
            <w:r w:rsidRPr="0092467E">
              <w:rPr>
                <w:sz w:val="24"/>
                <w:szCs w:val="24"/>
              </w:rPr>
              <w:t>8, 9, 2</w:t>
            </w:r>
          </w:p>
        </w:tc>
      </w:tr>
      <w:tr w:rsidR="00D418C6" w:rsidRPr="0092467E" w14:paraId="23BBD5AB" w14:textId="77777777" w:rsidTr="0092467E">
        <w:tc>
          <w:tcPr>
            <w:tcW w:w="489" w:type="dxa"/>
          </w:tcPr>
          <w:p w14:paraId="2CDCD1ED" w14:textId="77777777" w:rsidR="00D418C6" w:rsidRPr="0092467E" w:rsidRDefault="00000000">
            <w:pPr>
              <w:rPr>
                <w:sz w:val="24"/>
                <w:szCs w:val="24"/>
              </w:rPr>
            </w:pPr>
            <w:r w:rsidRPr="0092467E">
              <w:rPr>
                <w:b/>
                <w:sz w:val="24"/>
                <w:szCs w:val="24"/>
              </w:rPr>
              <w:t>3</w:t>
            </w:r>
          </w:p>
        </w:tc>
        <w:tc>
          <w:tcPr>
            <w:tcW w:w="7092" w:type="dxa"/>
          </w:tcPr>
          <w:p w14:paraId="2E6E4279" w14:textId="77777777" w:rsidR="00D418C6" w:rsidRPr="0092467E" w:rsidRDefault="00000000">
            <w:pPr>
              <w:rPr>
                <w:sz w:val="24"/>
                <w:szCs w:val="24"/>
              </w:rPr>
            </w:pPr>
            <w:proofErr w:type="gramStart"/>
            <w:r w:rsidRPr="0092467E">
              <w:rPr>
                <w:sz w:val="24"/>
                <w:szCs w:val="24"/>
              </w:rPr>
              <w:t>Er:YAG</w:t>
            </w:r>
            <w:proofErr w:type="gramEnd"/>
            <w:r w:rsidRPr="0092467E">
              <w:rPr>
                <w:sz w:val="24"/>
                <w:szCs w:val="24"/>
              </w:rPr>
              <w:t xml:space="preserve"> is the best-evidenced laser for implant-surface decontamination (water absorption, debris/biofilm removal without surface damage); diode/CO2 are adjunctive for soft tissue only. Evidence is heterogeneous/inconclusive with no standardized protocol; </w:t>
            </w:r>
            <w:r w:rsidRPr="0092467E">
              <w:rPr>
                <w:sz w:val="24"/>
                <w:szCs w:val="24"/>
              </w:rPr>
              <w:lastRenderedPageBreak/>
              <w:t>effect on bone is modest. Should preserve re-osseointegration potential and integrate with surgical access + regeneration.</w:t>
            </w:r>
          </w:p>
        </w:tc>
        <w:tc>
          <w:tcPr>
            <w:tcW w:w="1617" w:type="dxa"/>
          </w:tcPr>
          <w:p w14:paraId="56F8D979" w14:textId="77777777" w:rsidR="00D418C6" w:rsidRPr="0092467E" w:rsidRDefault="00000000">
            <w:pPr>
              <w:rPr>
                <w:sz w:val="24"/>
                <w:szCs w:val="24"/>
              </w:rPr>
            </w:pPr>
            <w:r w:rsidRPr="0092467E">
              <w:rPr>
                <w:sz w:val="24"/>
                <w:szCs w:val="24"/>
              </w:rPr>
              <w:lastRenderedPageBreak/>
              <w:t>11, 12, 13, 2</w:t>
            </w:r>
          </w:p>
        </w:tc>
      </w:tr>
      <w:tr w:rsidR="00D418C6" w:rsidRPr="0092467E" w14:paraId="2C0847F9" w14:textId="77777777" w:rsidTr="0092467E">
        <w:tc>
          <w:tcPr>
            <w:tcW w:w="489" w:type="dxa"/>
          </w:tcPr>
          <w:p w14:paraId="7800CB5F" w14:textId="77777777" w:rsidR="00D418C6" w:rsidRPr="0092467E" w:rsidRDefault="00000000">
            <w:pPr>
              <w:rPr>
                <w:sz w:val="24"/>
                <w:szCs w:val="24"/>
              </w:rPr>
            </w:pPr>
            <w:r w:rsidRPr="0092467E">
              <w:rPr>
                <w:b/>
                <w:sz w:val="24"/>
                <w:szCs w:val="24"/>
              </w:rPr>
              <w:t>4</w:t>
            </w:r>
          </w:p>
        </w:tc>
        <w:tc>
          <w:tcPr>
            <w:tcW w:w="7092" w:type="dxa"/>
          </w:tcPr>
          <w:p w14:paraId="5186FBF0" w14:textId="77777777" w:rsidR="00D418C6" w:rsidRPr="0092467E" w:rsidRDefault="00000000">
            <w:pPr>
              <w:rPr>
                <w:sz w:val="24"/>
                <w:szCs w:val="24"/>
              </w:rPr>
            </w:pPr>
            <w:r w:rsidRPr="0092467E">
              <w:rPr>
                <w:sz w:val="24"/>
                <w:szCs w:val="24"/>
              </w:rPr>
              <w:t xml:space="preserve">Laser frenectomy is appropriate; both diode and CO2 give less intra-operative bleeding, often suture-free, with comparable long-term healing vs scalpel; CO2 </w:t>
            </w:r>
            <w:proofErr w:type="gramStart"/>
            <w:r w:rsidRPr="0092467E">
              <w:rPr>
                <w:sz w:val="24"/>
                <w:szCs w:val="24"/>
              </w:rPr>
              <w:t>strongly water-</w:t>
            </w:r>
            <w:proofErr w:type="gramEnd"/>
            <w:r w:rsidRPr="0092467E">
              <w:rPr>
                <w:sz w:val="24"/>
                <w:szCs w:val="24"/>
              </w:rPr>
              <w:t>absorbed for precise soft-tissue ablation. Must couple with orthodontic space closure for the diastema. Diode ~1.5–3 W (contact, initiated tip); CO2 continuous/pulsed low watts.</w:t>
            </w:r>
          </w:p>
        </w:tc>
        <w:tc>
          <w:tcPr>
            <w:tcW w:w="1617" w:type="dxa"/>
          </w:tcPr>
          <w:p w14:paraId="427C0CEA" w14:textId="77777777" w:rsidR="00D418C6" w:rsidRPr="0092467E" w:rsidRDefault="00000000">
            <w:pPr>
              <w:rPr>
                <w:sz w:val="24"/>
                <w:szCs w:val="24"/>
              </w:rPr>
            </w:pPr>
            <w:r w:rsidRPr="0092467E">
              <w:rPr>
                <w:sz w:val="24"/>
                <w:szCs w:val="24"/>
              </w:rPr>
              <w:t>14, 15</w:t>
            </w:r>
          </w:p>
        </w:tc>
      </w:tr>
      <w:tr w:rsidR="00D418C6" w:rsidRPr="0092467E" w14:paraId="6AA41364" w14:textId="77777777" w:rsidTr="0092467E">
        <w:tc>
          <w:tcPr>
            <w:tcW w:w="489" w:type="dxa"/>
          </w:tcPr>
          <w:p w14:paraId="54BDE290" w14:textId="77777777" w:rsidR="00D418C6" w:rsidRPr="0092467E" w:rsidRDefault="00000000">
            <w:pPr>
              <w:rPr>
                <w:sz w:val="24"/>
                <w:szCs w:val="24"/>
              </w:rPr>
            </w:pPr>
            <w:r w:rsidRPr="0092467E">
              <w:rPr>
                <w:b/>
                <w:sz w:val="24"/>
                <w:szCs w:val="24"/>
              </w:rPr>
              <w:t>5</w:t>
            </w:r>
          </w:p>
        </w:tc>
        <w:tc>
          <w:tcPr>
            <w:tcW w:w="7092" w:type="dxa"/>
          </w:tcPr>
          <w:p w14:paraId="13A9969E" w14:textId="77777777" w:rsidR="00D418C6" w:rsidRPr="0092467E" w:rsidRDefault="00000000">
            <w:pPr>
              <w:rPr>
                <w:sz w:val="24"/>
                <w:szCs w:val="24"/>
              </w:rPr>
            </w:pPr>
            <w:r w:rsidRPr="0092467E">
              <w:rPr>
                <w:sz w:val="24"/>
                <w:szCs w:val="24"/>
              </w:rPr>
              <w:t xml:space="preserve">Laser depigmentation is effective and safe; </w:t>
            </w:r>
            <w:proofErr w:type="gramStart"/>
            <w:r w:rsidRPr="0092467E">
              <w:rPr>
                <w:sz w:val="24"/>
                <w:szCs w:val="24"/>
              </w:rPr>
              <w:t>Er:YAG</w:t>
            </w:r>
            <w:proofErr w:type="gramEnd"/>
            <w:r w:rsidRPr="0092467E">
              <w:rPr>
                <w:sz w:val="24"/>
                <w:szCs w:val="24"/>
              </w:rPr>
              <w:t xml:space="preserve">, diode, CO2, and </w:t>
            </w:r>
            <w:proofErr w:type="gramStart"/>
            <w:r w:rsidRPr="0092467E">
              <w:rPr>
                <w:sz w:val="24"/>
                <w:szCs w:val="24"/>
              </w:rPr>
              <w:t>Nd:YAG</w:t>
            </w:r>
            <w:proofErr w:type="gramEnd"/>
            <w:r w:rsidRPr="0092467E">
              <w:rPr>
                <w:sz w:val="24"/>
                <w:szCs w:val="24"/>
              </w:rPr>
              <w:t xml:space="preserve"> all described. Mechanism = ablation/removal of melanin-containing epithelium. A correct answer must mention that repigmentation can recur over months to years. Fitzpatrick IV implies higher melanin load/recurrence.</w:t>
            </w:r>
          </w:p>
        </w:tc>
        <w:tc>
          <w:tcPr>
            <w:tcW w:w="1617" w:type="dxa"/>
          </w:tcPr>
          <w:p w14:paraId="6C03D8E1" w14:textId="77777777" w:rsidR="00D418C6" w:rsidRPr="0092467E" w:rsidRDefault="00000000">
            <w:pPr>
              <w:rPr>
                <w:sz w:val="24"/>
                <w:szCs w:val="24"/>
              </w:rPr>
            </w:pPr>
            <w:r w:rsidRPr="0092467E">
              <w:rPr>
                <w:sz w:val="24"/>
                <w:szCs w:val="24"/>
              </w:rPr>
              <w:t>16, 30</w:t>
            </w:r>
          </w:p>
        </w:tc>
      </w:tr>
      <w:tr w:rsidR="00D418C6" w:rsidRPr="0092467E" w14:paraId="77818244" w14:textId="77777777" w:rsidTr="0092467E">
        <w:tc>
          <w:tcPr>
            <w:tcW w:w="489" w:type="dxa"/>
          </w:tcPr>
          <w:p w14:paraId="3388D3A6" w14:textId="77777777" w:rsidR="00D418C6" w:rsidRPr="0092467E" w:rsidRDefault="00000000">
            <w:pPr>
              <w:rPr>
                <w:sz w:val="24"/>
                <w:szCs w:val="24"/>
              </w:rPr>
            </w:pPr>
            <w:r w:rsidRPr="0092467E">
              <w:rPr>
                <w:b/>
                <w:sz w:val="24"/>
                <w:szCs w:val="24"/>
              </w:rPr>
              <w:t>6</w:t>
            </w:r>
          </w:p>
        </w:tc>
        <w:tc>
          <w:tcPr>
            <w:tcW w:w="7092" w:type="dxa"/>
          </w:tcPr>
          <w:p w14:paraId="232C457F" w14:textId="77777777" w:rsidR="00D418C6" w:rsidRPr="0092467E" w:rsidRDefault="00000000">
            <w:pPr>
              <w:rPr>
                <w:sz w:val="24"/>
                <w:szCs w:val="24"/>
              </w:rPr>
            </w:pPr>
            <w:r w:rsidRPr="0092467E">
              <w:rPr>
                <w:sz w:val="24"/>
                <w:szCs w:val="24"/>
              </w:rPr>
              <w:t>Soft-tissue laser gingivectomy/gingivoplasty is appropriate when no osseous recontouring is needed (here the crest is &gt;1 mm from CEJ). Diode/</w:t>
            </w:r>
            <w:proofErr w:type="gramStart"/>
            <w:r w:rsidRPr="0092467E">
              <w:rPr>
                <w:sz w:val="24"/>
                <w:szCs w:val="24"/>
              </w:rPr>
              <w:t>Er:YAG</w:t>
            </w:r>
            <w:proofErr w:type="gramEnd"/>
            <w:r w:rsidRPr="0092467E">
              <w:rPr>
                <w:sz w:val="24"/>
                <w:szCs w:val="24"/>
              </w:rPr>
              <w:t>/CO2 acceptable; must respect biologic width / not violate the supracrestal attachment. Rapid hemostasis and minimal downtime are advantages; if bone were involved, a flap is required.</w:t>
            </w:r>
          </w:p>
        </w:tc>
        <w:tc>
          <w:tcPr>
            <w:tcW w:w="1617" w:type="dxa"/>
          </w:tcPr>
          <w:p w14:paraId="7472E9D5" w14:textId="77777777" w:rsidR="00D418C6" w:rsidRPr="0092467E" w:rsidRDefault="00000000">
            <w:pPr>
              <w:rPr>
                <w:sz w:val="24"/>
                <w:szCs w:val="24"/>
              </w:rPr>
            </w:pPr>
            <w:r w:rsidRPr="0092467E">
              <w:rPr>
                <w:sz w:val="24"/>
                <w:szCs w:val="24"/>
              </w:rPr>
              <w:t>2, 30</w:t>
            </w:r>
          </w:p>
        </w:tc>
      </w:tr>
      <w:tr w:rsidR="00D418C6" w:rsidRPr="0092467E" w14:paraId="23AD05C2" w14:textId="77777777" w:rsidTr="0092467E">
        <w:tc>
          <w:tcPr>
            <w:tcW w:w="489" w:type="dxa"/>
          </w:tcPr>
          <w:p w14:paraId="3E6F6E81" w14:textId="77777777" w:rsidR="00D418C6" w:rsidRPr="0092467E" w:rsidRDefault="00000000">
            <w:pPr>
              <w:rPr>
                <w:sz w:val="24"/>
                <w:szCs w:val="24"/>
              </w:rPr>
            </w:pPr>
            <w:r w:rsidRPr="0092467E">
              <w:rPr>
                <w:b/>
                <w:sz w:val="24"/>
                <w:szCs w:val="24"/>
              </w:rPr>
              <w:t>7</w:t>
            </w:r>
          </w:p>
        </w:tc>
        <w:tc>
          <w:tcPr>
            <w:tcW w:w="7092" w:type="dxa"/>
          </w:tcPr>
          <w:p w14:paraId="53EF11D2" w14:textId="77777777" w:rsidR="00D418C6" w:rsidRPr="0092467E" w:rsidRDefault="00000000">
            <w:pPr>
              <w:rPr>
                <w:sz w:val="24"/>
                <w:szCs w:val="24"/>
              </w:rPr>
            </w:pPr>
            <w:r w:rsidRPr="0092467E">
              <w:rPr>
                <w:sz w:val="24"/>
                <w:szCs w:val="24"/>
              </w:rPr>
              <w:t>Photobiomodulation to support healing/reduce pain: red/near-infrared (~630–680 nm and ~780–830 nm), low energy density (commonly ~2–6 J/cm2 per point), non-ablative, repeated over early healing days. Benefit is modest; PBM dosimetry should follow recognized protocols.</w:t>
            </w:r>
          </w:p>
        </w:tc>
        <w:tc>
          <w:tcPr>
            <w:tcW w:w="1617" w:type="dxa"/>
          </w:tcPr>
          <w:p w14:paraId="158B7FA8" w14:textId="77777777" w:rsidR="00D418C6" w:rsidRPr="0092467E" w:rsidRDefault="00000000">
            <w:pPr>
              <w:rPr>
                <w:sz w:val="24"/>
                <w:szCs w:val="24"/>
              </w:rPr>
            </w:pPr>
            <w:r w:rsidRPr="0092467E">
              <w:rPr>
                <w:sz w:val="24"/>
                <w:szCs w:val="24"/>
              </w:rPr>
              <w:t>4, 30</w:t>
            </w:r>
          </w:p>
        </w:tc>
      </w:tr>
      <w:tr w:rsidR="00D418C6" w:rsidRPr="0092467E" w14:paraId="0516B6E8" w14:textId="77777777" w:rsidTr="0092467E">
        <w:tc>
          <w:tcPr>
            <w:tcW w:w="489" w:type="dxa"/>
          </w:tcPr>
          <w:p w14:paraId="3FC2A005" w14:textId="77777777" w:rsidR="00D418C6" w:rsidRPr="0092467E" w:rsidRDefault="00000000">
            <w:pPr>
              <w:rPr>
                <w:sz w:val="24"/>
                <w:szCs w:val="24"/>
              </w:rPr>
            </w:pPr>
            <w:r w:rsidRPr="0092467E">
              <w:rPr>
                <w:b/>
                <w:sz w:val="24"/>
                <w:szCs w:val="24"/>
              </w:rPr>
              <w:t>8</w:t>
            </w:r>
          </w:p>
        </w:tc>
        <w:tc>
          <w:tcPr>
            <w:tcW w:w="7092" w:type="dxa"/>
          </w:tcPr>
          <w:p w14:paraId="2881B0AA" w14:textId="77777777" w:rsidR="00D418C6" w:rsidRPr="0092467E" w:rsidRDefault="00000000">
            <w:pPr>
              <w:rPr>
                <w:sz w:val="24"/>
                <w:szCs w:val="24"/>
              </w:rPr>
            </w:pPr>
            <w:r w:rsidRPr="0092467E">
              <w:rPr>
                <w:sz w:val="24"/>
                <w:szCs w:val="24"/>
              </w:rPr>
              <w:t>Diode adjunct (or aPDT) in poorly controlled T2DM: adjunctive use may add a small periodontal benefit; aPDT meta-analysis in T2DM shows modest PD/CAL gains. Evidence for a meaningful glycemic (HbA1c) effect is weak — a strong answer avoids over-claiming metabolic benefit. SRP remains primary.</w:t>
            </w:r>
          </w:p>
        </w:tc>
        <w:tc>
          <w:tcPr>
            <w:tcW w:w="1617" w:type="dxa"/>
          </w:tcPr>
          <w:p w14:paraId="1263433A" w14:textId="77777777" w:rsidR="00D418C6" w:rsidRPr="0092467E" w:rsidRDefault="00000000">
            <w:pPr>
              <w:rPr>
                <w:sz w:val="24"/>
                <w:szCs w:val="24"/>
              </w:rPr>
            </w:pPr>
            <w:r w:rsidRPr="0092467E">
              <w:rPr>
                <w:sz w:val="24"/>
                <w:szCs w:val="24"/>
              </w:rPr>
              <w:t>10, 2, 6</w:t>
            </w:r>
          </w:p>
        </w:tc>
      </w:tr>
    </w:tbl>
    <w:p w14:paraId="5373838C" w14:textId="4243ECBE" w:rsidR="00D418C6" w:rsidRPr="0092467E" w:rsidRDefault="00000000">
      <w:pPr>
        <w:spacing w:before="200" w:after="100"/>
        <w:rPr>
          <w:sz w:val="24"/>
          <w:szCs w:val="24"/>
        </w:rPr>
      </w:pPr>
      <w:r w:rsidRPr="0092467E">
        <w:rPr>
          <w:b/>
          <w:sz w:val="24"/>
          <w:szCs w:val="24"/>
        </w:rPr>
        <w:t xml:space="preserve">Category B </w:t>
      </w:r>
      <w:r w:rsidR="0092467E" w:rsidRPr="0092467E">
        <w:rPr>
          <w:b/>
          <w:sz w:val="24"/>
          <w:szCs w:val="24"/>
        </w:rPr>
        <w:t>-</w:t>
      </w:r>
      <w:r w:rsidRPr="0092467E">
        <w:rPr>
          <w:b/>
          <w:sz w:val="24"/>
          <w:szCs w:val="24"/>
        </w:rPr>
        <w:t xml:space="preserve"> Endodontic</w:t>
      </w:r>
    </w:p>
    <w:tbl>
      <w:tblPr>
        <w:tblStyle w:val="TableGrid"/>
        <w:tblW w:w="0" w:type="auto"/>
        <w:tblLook w:val="04A0" w:firstRow="1" w:lastRow="0" w:firstColumn="1" w:lastColumn="0" w:noHBand="0" w:noVBand="1"/>
      </w:tblPr>
      <w:tblGrid>
        <w:gridCol w:w="531"/>
        <w:gridCol w:w="7053"/>
        <w:gridCol w:w="1272"/>
      </w:tblGrid>
      <w:tr w:rsidR="00D418C6" w:rsidRPr="0092467E" w14:paraId="4186316A" w14:textId="77777777" w:rsidTr="0092467E">
        <w:tc>
          <w:tcPr>
            <w:tcW w:w="576" w:type="dxa"/>
          </w:tcPr>
          <w:p w14:paraId="118A8494" w14:textId="77777777" w:rsidR="00D418C6" w:rsidRPr="0092467E" w:rsidRDefault="00000000">
            <w:pPr>
              <w:rPr>
                <w:sz w:val="24"/>
                <w:szCs w:val="24"/>
              </w:rPr>
            </w:pPr>
            <w:r w:rsidRPr="0092467E">
              <w:rPr>
                <w:b/>
                <w:sz w:val="24"/>
                <w:szCs w:val="24"/>
              </w:rPr>
              <w:t>#</w:t>
            </w:r>
          </w:p>
        </w:tc>
        <w:tc>
          <w:tcPr>
            <w:tcW w:w="9504" w:type="dxa"/>
          </w:tcPr>
          <w:p w14:paraId="0A0CD8C4" w14:textId="77777777" w:rsidR="00D418C6" w:rsidRPr="0092467E" w:rsidRDefault="00000000">
            <w:pPr>
              <w:rPr>
                <w:sz w:val="24"/>
                <w:szCs w:val="24"/>
              </w:rPr>
            </w:pPr>
            <w:r w:rsidRPr="0092467E">
              <w:rPr>
                <w:b/>
                <w:sz w:val="24"/>
                <w:szCs w:val="24"/>
              </w:rPr>
              <w:t>Expected evidence-based approach &amp; key parameters (reference standard)</w:t>
            </w:r>
          </w:p>
        </w:tc>
        <w:tc>
          <w:tcPr>
            <w:tcW w:w="1440" w:type="dxa"/>
          </w:tcPr>
          <w:p w14:paraId="29E4971E" w14:textId="77777777" w:rsidR="00D418C6" w:rsidRPr="0092467E" w:rsidRDefault="00000000">
            <w:pPr>
              <w:rPr>
                <w:sz w:val="24"/>
                <w:szCs w:val="24"/>
              </w:rPr>
            </w:pPr>
            <w:r w:rsidRPr="0092467E">
              <w:rPr>
                <w:b/>
                <w:sz w:val="24"/>
                <w:szCs w:val="24"/>
              </w:rPr>
              <w:t>Anchor refs</w:t>
            </w:r>
          </w:p>
        </w:tc>
      </w:tr>
      <w:tr w:rsidR="00D418C6" w:rsidRPr="0092467E" w14:paraId="5E5B828F" w14:textId="77777777" w:rsidTr="0092467E">
        <w:tc>
          <w:tcPr>
            <w:tcW w:w="576" w:type="dxa"/>
          </w:tcPr>
          <w:p w14:paraId="54228F57" w14:textId="77777777" w:rsidR="00D418C6" w:rsidRPr="0092467E" w:rsidRDefault="00000000">
            <w:pPr>
              <w:rPr>
                <w:sz w:val="24"/>
                <w:szCs w:val="24"/>
              </w:rPr>
            </w:pPr>
            <w:r w:rsidRPr="0092467E">
              <w:rPr>
                <w:b/>
                <w:sz w:val="24"/>
                <w:szCs w:val="24"/>
              </w:rPr>
              <w:t>9</w:t>
            </w:r>
          </w:p>
        </w:tc>
        <w:tc>
          <w:tcPr>
            <w:tcW w:w="9504" w:type="dxa"/>
          </w:tcPr>
          <w:p w14:paraId="4CE1E2A8" w14:textId="77777777" w:rsidR="00D418C6" w:rsidRPr="0092467E" w:rsidRDefault="00000000">
            <w:pPr>
              <w:rPr>
                <w:sz w:val="24"/>
                <w:szCs w:val="24"/>
              </w:rPr>
            </w:pPr>
            <w:r w:rsidRPr="0092467E">
              <w:rPr>
                <w:sz w:val="24"/>
                <w:szCs w:val="24"/>
              </w:rPr>
              <w:t>Laser-activated disinfection (</w:t>
            </w:r>
            <w:proofErr w:type="gramStart"/>
            <w:r w:rsidRPr="0092467E">
              <w:rPr>
                <w:sz w:val="24"/>
                <w:szCs w:val="24"/>
              </w:rPr>
              <w:t>Er,Cr</w:t>
            </w:r>
            <w:proofErr w:type="gramEnd"/>
            <w:r w:rsidRPr="0092467E">
              <w:rPr>
                <w:sz w:val="24"/>
                <w:szCs w:val="24"/>
              </w:rPr>
              <w:t xml:space="preserve">:YSGG or </w:t>
            </w:r>
            <w:proofErr w:type="gramStart"/>
            <w:r w:rsidRPr="0092467E">
              <w:rPr>
                <w:sz w:val="24"/>
                <w:szCs w:val="24"/>
              </w:rPr>
              <w:t>Er:YAG</w:t>
            </w:r>
            <w:proofErr w:type="gramEnd"/>
            <w:r w:rsidRPr="0092467E">
              <w:rPr>
                <w:sz w:val="24"/>
                <w:szCs w:val="24"/>
              </w:rPr>
              <w:t xml:space="preserve"> LAI; </w:t>
            </w:r>
            <w:proofErr w:type="gramStart"/>
            <w:r w:rsidRPr="0092467E">
              <w:rPr>
                <w:sz w:val="24"/>
                <w:szCs w:val="24"/>
              </w:rPr>
              <w:t>Nd:YAG</w:t>
            </w:r>
            <w:proofErr w:type="gramEnd"/>
            <w:r w:rsidRPr="0092467E">
              <w:rPr>
                <w:sz w:val="24"/>
                <w:szCs w:val="24"/>
              </w:rPr>
              <w:t xml:space="preserve"> also used) as an adjunct to — not a replacement for — NaOCl irrigation. Improves bacterial reduction against E. faecalis and biofilm beyond conventional irrigation. </w:t>
            </w:r>
            <w:proofErr w:type="gramStart"/>
            <w:r w:rsidRPr="0092467E">
              <w:rPr>
                <w:sz w:val="24"/>
                <w:szCs w:val="24"/>
              </w:rPr>
              <w:t>Er,Cr</w:t>
            </w:r>
            <w:proofErr w:type="gramEnd"/>
            <w:r w:rsidRPr="0092467E">
              <w:rPr>
                <w:sz w:val="24"/>
                <w:szCs w:val="24"/>
              </w:rPr>
              <w:t>:YSGG illustrative settings ~0.75–1.5 W, ~20–40 Hz with water; chemo-mechanical prep + NaOCl remain the backbone.</w:t>
            </w:r>
          </w:p>
        </w:tc>
        <w:tc>
          <w:tcPr>
            <w:tcW w:w="1440" w:type="dxa"/>
          </w:tcPr>
          <w:p w14:paraId="10C13002" w14:textId="77777777" w:rsidR="00D418C6" w:rsidRPr="0092467E" w:rsidRDefault="00000000">
            <w:pPr>
              <w:rPr>
                <w:sz w:val="24"/>
                <w:szCs w:val="24"/>
              </w:rPr>
            </w:pPr>
            <w:r w:rsidRPr="0092467E">
              <w:rPr>
                <w:sz w:val="24"/>
                <w:szCs w:val="24"/>
              </w:rPr>
              <w:t>17, 32</w:t>
            </w:r>
          </w:p>
        </w:tc>
      </w:tr>
      <w:tr w:rsidR="00D418C6" w:rsidRPr="0092467E" w14:paraId="4B93B24C" w14:textId="77777777" w:rsidTr="0092467E">
        <w:tc>
          <w:tcPr>
            <w:tcW w:w="576" w:type="dxa"/>
          </w:tcPr>
          <w:p w14:paraId="77AC8CE0" w14:textId="77777777" w:rsidR="00D418C6" w:rsidRPr="0092467E" w:rsidRDefault="00000000">
            <w:pPr>
              <w:rPr>
                <w:sz w:val="24"/>
                <w:szCs w:val="24"/>
              </w:rPr>
            </w:pPr>
            <w:r w:rsidRPr="0092467E">
              <w:rPr>
                <w:b/>
                <w:sz w:val="24"/>
                <w:szCs w:val="24"/>
              </w:rPr>
              <w:t>10</w:t>
            </w:r>
          </w:p>
        </w:tc>
        <w:tc>
          <w:tcPr>
            <w:tcW w:w="9504" w:type="dxa"/>
          </w:tcPr>
          <w:p w14:paraId="31A560EA" w14:textId="77777777" w:rsidR="00D418C6" w:rsidRPr="0092467E" w:rsidRDefault="00000000">
            <w:pPr>
              <w:rPr>
                <w:sz w:val="24"/>
                <w:szCs w:val="24"/>
              </w:rPr>
            </w:pPr>
            <w:r w:rsidRPr="0092467E">
              <w:rPr>
                <w:sz w:val="24"/>
                <w:szCs w:val="24"/>
              </w:rPr>
              <w:t xml:space="preserve">PIPS/SWEEPS with an </w:t>
            </w:r>
            <w:proofErr w:type="gramStart"/>
            <w:r w:rsidRPr="0092467E">
              <w:rPr>
                <w:sz w:val="24"/>
                <w:szCs w:val="24"/>
              </w:rPr>
              <w:t>Er:YAG</w:t>
            </w:r>
            <w:proofErr w:type="gramEnd"/>
            <w:r w:rsidRPr="0092467E">
              <w:rPr>
                <w:sz w:val="24"/>
                <w:szCs w:val="24"/>
              </w:rPr>
              <w:t xml:space="preserve"> laser (2940 nm) at sub-ablative energy (~20–50 mJ, ~10–15 Hz, tip in the coronal reservoir, no/low water) generates photoacoustic streaming that drives irrigant into isthmuses/MB2 and uninstrumented spaces; superior penetration vs needle/ultrasonic activation. Used with NaOCl/EDTA exchange.</w:t>
            </w:r>
          </w:p>
        </w:tc>
        <w:tc>
          <w:tcPr>
            <w:tcW w:w="1440" w:type="dxa"/>
          </w:tcPr>
          <w:p w14:paraId="3083CE72" w14:textId="77777777" w:rsidR="00D418C6" w:rsidRPr="0092467E" w:rsidRDefault="00000000">
            <w:pPr>
              <w:rPr>
                <w:sz w:val="24"/>
                <w:szCs w:val="24"/>
              </w:rPr>
            </w:pPr>
            <w:r w:rsidRPr="0092467E">
              <w:rPr>
                <w:sz w:val="24"/>
                <w:szCs w:val="24"/>
              </w:rPr>
              <w:t>17</w:t>
            </w:r>
          </w:p>
        </w:tc>
      </w:tr>
      <w:tr w:rsidR="00D418C6" w:rsidRPr="0092467E" w14:paraId="1C00A769" w14:textId="77777777" w:rsidTr="0092467E">
        <w:tc>
          <w:tcPr>
            <w:tcW w:w="576" w:type="dxa"/>
          </w:tcPr>
          <w:p w14:paraId="7C2BE100" w14:textId="77777777" w:rsidR="00D418C6" w:rsidRPr="0092467E" w:rsidRDefault="00000000">
            <w:pPr>
              <w:rPr>
                <w:sz w:val="24"/>
                <w:szCs w:val="24"/>
              </w:rPr>
            </w:pPr>
            <w:r w:rsidRPr="0092467E">
              <w:rPr>
                <w:b/>
                <w:sz w:val="24"/>
                <w:szCs w:val="24"/>
              </w:rPr>
              <w:t>11</w:t>
            </w:r>
          </w:p>
        </w:tc>
        <w:tc>
          <w:tcPr>
            <w:tcW w:w="9504" w:type="dxa"/>
          </w:tcPr>
          <w:p w14:paraId="3A63C392" w14:textId="77777777" w:rsidR="00D418C6" w:rsidRPr="0092467E" w:rsidRDefault="00000000">
            <w:pPr>
              <w:rPr>
                <w:sz w:val="24"/>
                <w:szCs w:val="24"/>
              </w:rPr>
            </w:pPr>
            <w:r w:rsidRPr="0092467E">
              <w:rPr>
                <w:sz w:val="24"/>
                <w:szCs w:val="24"/>
              </w:rPr>
              <w:t>In retreatment of refractory apical periodontitis, adjunctive laser disinfection (</w:t>
            </w:r>
            <w:proofErr w:type="gramStart"/>
            <w:r w:rsidRPr="0092467E">
              <w:rPr>
                <w:sz w:val="24"/>
                <w:szCs w:val="24"/>
              </w:rPr>
              <w:t>Er:YAG</w:t>
            </w:r>
            <w:proofErr w:type="gramEnd"/>
            <w:r w:rsidRPr="0092467E">
              <w:rPr>
                <w:sz w:val="24"/>
                <w:szCs w:val="24"/>
              </w:rPr>
              <w:t xml:space="preserve"> LAI/PIPS or diode) after chemo-mechanical retreatment further reduces residual bacterial load; find/treat any missed canal. Adjunct only; prognosis depends on coronal seal and </w:t>
            </w:r>
            <w:r w:rsidRPr="0092467E">
              <w:rPr>
                <w:sz w:val="24"/>
                <w:szCs w:val="24"/>
              </w:rPr>
              <w:lastRenderedPageBreak/>
              <w:t>anatomy.</w:t>
            </w:r>
          </w:p>
        </w:tc>
        <w:tc>
          <w:tcPr>
            <w:tcW w:w="1440" w:type="dxa"/>
          </w:tcPr>
          <w:p w14:paraId="20529A92" w14:textId="77777777" w:rsidR="00D418C6" w:rsidRPr="0092467E" w:rsidRDefault="00000000">
            <w:pPr>
              <w:rPr>
                <w:sz w:val="24"/>
                <w:szCs w:val="24"/>
              </w:rPr>
            </w:pPr>
            <w:r w:rsidRPr="0092467E">
              <w:rPr>
                <w:sz w:val="24"/>
                <w:szCs w:val="24"/>
              </w:rPr>
              <w:lastRenderedPageBreak/>
              <w:t>17, 31</w:t>
            </w:r>
          </w:p>
        </w:tc>
      </w:tr>
      <w:tr w:rsidR="00D418C6" w:rsidRPr="0092467E" w14:paraId="03328F75" w14:textId="77777777" w:rsidTr="0092467E">
        <w:tc>
          <w:tcPr>
            <w:tcW w:w="576" w:type="dxa"/>
          </w:tcPr>
          <w:p w14:paraId="60232ED9" w14:textId="77777777" w:rsidR="00D418C6" w:rsidRPr="0092467E" w:rsidRDefault="00000000">
            <w:pPr>
              <w:rPr>
                <w:sz w:val="24"/>
                <w:szCs w:val="24"/>
              </w:rPr>
            </w:pPr>
            <w:r w:rsidRPr="0092467E">
              <w:rPr>
                <w:b/>
                <w:sz w:val="24"/>
                <w:szCs w:val="24"/>
              </w:rPr>
              <w:t>12</w:t>
            </w:r>
          </w:p>
        </w:tc>
        <w:tc>
          <w:tcPr>
            <w:tcW w:w="9504" w:type="dxa"/>
          </w:tcPr>
          <w:p w14:paraId="40C93484" w14:textId="77777777" w:rsidR="00D418C6" w:rsidRPr="0092467E" w:rsidRDefault="00000000">
            <w:pPr>
              <w:rPr>
                <w:sz w:val="24"/>
                <w:szCs w:val="24"/>
              </w:rPr>
            </w:pPr>
            <w:r w:rsidRPr="0092467E">
              <w:rPr>
                <w:sz w:val="24"/>
                <w:szCs w:val="24"/>
              </w:rPr>
              <w:t>Diode (810–980 nm) as a FINAL adjunctive disinfection step after chemo-mechanical prep + NaOCl: RCT/retrospective evidence shows added intracanal bacterial reduction; must use modest power and continuous fiber movement to limit apical heat; adjunct only, does not replace NaOCl. Typical ~1–2 W, repeated short passes; check apical temperature safety.</w:t>
            </w:r>
          </w:p>
        </w:tc>
        <w:tc>
          <w:tcPr>
            <w:tcW w:w="1440" w:type="dxa"/>
          </w:tcPr>
          <w:p w14:paraId="01F08532" w14:textId="77777777" w:rsidR="00D418C6" w:rsidRPr="0092467E" w:rsidRDefault="00000000">
            <w:pPr>
              <w:rPr>
                <w:sz w:val="24"/>
                <w:szCs w:val="24"/>
              </w:rPr>
            </w:pPr>
            <w:r w:rsidRPr="0092467E">
              <w:rPr>
                <w:sz w:val="24"/>
                <w:szCs w:val="24"/>
              </w:rPr>
              <w:t>31, 32, 17</w:t>
            </w:r>
          </w:p>
        </w:tc>
      </w:tr>
      <w:tr w:rsidR="00D418C6" w:rsidRPr="0092467E" w14:paraId="3A9CDA87" w14:textId="77777777" w:rsidTr="0092467E">
        <w:tc>
          <w:tcPr>
            <w:tcW w:w="576" w:type="dxa"/>
          </w:tcPr>
          <w:p w14:paraId="45B62923" w14:textId="77777777" w:rsidR="00D418C6" w:rsidRPr="0092467E" w:rsidRDefault="00000000">
            <w:pPr>
              <w:rPr>
                <w:sz w:val="24"/>
                <w:szCs w:val="24"/>
              </w:rPr>
            </w:pPr>
            <w:r w:rsidRPr="0092467E">
              <w:rPr>
                <w:b/>
                <w:sz w:val="24"/>
                <w:szCs w:val="24"/>
              </w:rPr>
              <w:t>13</w:t>
            </w:r>
          </w:p>
        </w:tc>
        <w:tc>
          <w:tcPr>
            <w:tcW w:w="9504" w:type="dxa"/>
          </w:tcPr>
          <w:p w14:paraId="785505F0" w14:textId="77777777" w:rsidR="00D418C6" w:rsidRPr="0092467E" w:rsidRDefault="00000000">
            <w:pPr>
              <w:rPr>
                <w:sz w:val="24"/>
                <w:szCs w:val="24"/>
              </w:rPr>
            </w:pPr>
            <w:r w:rsidRPr="0092467E">
              <w:rPr>
                <w:sz w:val="24"/>
                <w:szCs w:val="24"/>
              </w:rPr>
              <w:t>Endodontic aPDT (photosensitizer e.g. methylene blue + ~660 nm low-power diode) as an adjunct to chemo-mechanical disinfection: singlet-oxygen bactericidal action without inducing resistance; evidence shows added bacterial reduction versus irrigation alone, useful for residual/resistant flora. Adjunct only; does not replace NaOCl/instrumentation.</w:t>
            </w:r>
          </w:p>
        </w:tc>
        <w:tc>
          <w:tcPr>
            <w:tcW w:w="1440" w:type="dxa"/>
          </w:tcPr>
          <w:p w14:paraId="70D1C5C4" w14:textId="77777777" w:rsidR="00D418C6" w:rsidRPr="0092467E" w:rsidRDefault="00000000">
            <w:pPr>
              <w:rPr>
                <w:sz w:val="24"/>
                <w:szCs w:val="24"/>
              </w:rPr>
            </w:pPr>
            <w:r w:rsidRPr="0092467E">
              <w:rPr>
                <w:sz w:val="24"/>
                <w:szCs w:val="24"/>
              </w:rPr>
              <w:t>17, 31</w:t>
            </w:r>
          </w:p>
        </w:tc>
      </w:tr>
      <w:tr w:rsidR="00D418C6" w:rsidRPr="0092467E" w14:paraId="14051410" w14:textId="77777777" w:rsidTr="0092467E">
        <w:tc>
          <w:tcPr>
            <w:tcW w:w="576" w:type="dxa"/>
          </w:tcPr>
          <w:p w14:paraId="2E783D4B" w14:textId="77777777" w:rsidR="00D418C6" w:rsidRPr="0092467E" w:rsidRDefault="00000000">
            <w:pPr>
              <w:rPr>
                <w:sz w:val="24"/>
                <w:szCs w:val="24"/>
              </w:rPr>
            </w:pPr>
            <w:r w:rsidRPr="0092467E">
              <w:rPr>
                <w:b/>
                <w:sz w:val="24"/>
                <w:szCs w:val="24"/>
              </w:rPr>
              <w:t>14</w:t>
            </w:r>
          </w:p>
        </w:tc>
        <w:tc>
          <w:tcPr>
            <w:tcW w:w="9504" w:type="dxa"/>
          </w:tcPr>
          <w:p w14:paraId="55D42E53" w14:textId="77777777" w:rsidR="00D418C6" w:rsidRPr="0092467E" w:rsidRDefault="00000000">
            <w:pPr>
              <w:rPr>
                <w:sz w:val="24"/>
                <w:szCs w:val="24"/>
              </w:rPr>
            </w:pPr>
            <w:r w:rsidRPr="0092467E">
              <w:rPr>
                <w:sz w:val="24"/>
                <w:szCs w:val="24"/>
              </w:rPr>
              <w:t>Laser-assisted full pulpotomy/VPT in a mature molar with reversible-to-early-irreversible pulpitis: correct case selection is the key determinant of success. Laser (</w:t>
            </w:r>
            <w:proofErr w:type="gramStart"/>
            <w:r w:rsidRPr="0092467E">
              <w:rPr>
                <w:sz w:val="24"/>
                <w:szCs w:val="24"/>
              </w:rPr>
              <w:t>Er:YAG</w:t>
            </w:r>
            <w:proofErr w:type="gramEnd"/>
            <w:r w:rsidRPr="0092467E">
              <w:rPr>
                <w:sz w:val="24"/>
                <w:szCs w:val="24"/>
              </w:rPr>
              <w:t xml:space="preserve">, </w:t>
            </w:r>
            <w:proofErr w:type="gramStart"/>
            <w:r w:rsidRPr="0092467E">
              <w:rPr>
                <w:sz w:val="24"/>
                <w:szCs w:val="24"/>
              </w:rPr>
              <w:t>Nd:YAG</w:t>
            </w:r>
            <w:proofErr w:type="gramEnd"/>
            <w:r w:rsidRPr="0092467E">
              <w:rPr>
                <w:sz w:val="24"/>
                <w:szCs w:val="24"/>
              </w:rPr>
              <w:t>, or diode/PBM) used for stump disinfection/hemostasis WITHOUT exceeding pulpal thermal threshold, then calcium-silicate (e.g., MTA/Biodentine). Reasonable success when diagnosis is accurate.</w:t>
            </w:r>
          </w:p>
        </w:tc>
        <w:tc>
          <w:tcPr>
            <w:tcW w:w="1440" w:type="dxa"/>
          </w:tcPr>
          <w:p w14:paraId="48021C50" w14:textId="77777777" w:rsidR="00D418C6" w:rsidRPr="0092467E" w:rsidRDefault="00000000">
            <w:pPr>
              <w:rPr>
                <w:sz w:val="24"/>
                <w:szCs w:val="24"/>
              </w:rPr>
            </w:pPr>
            <w:r w:rsidRPr="0092467E">
              <w:rPr>
                <w:sz w:val="24"/>
                <w:szCs w:val="24"/>
              </w:rPr>
              <w:t>18, 19</w:t>
            </w:r>
          </w:p>
        </w:tc>
      </w:tr>
      <w:tr w:rsidR="00D418C6" w:rsidRPr="0092467E" w14:paraId="62D745C9" w14:textId="77777777" w:rsidTr="0092467E">
        <w:tc>
          <w:tcPr>
            <w:tcW w:w="576" w:type="dxa"/>
          </w:tcPr>
          <w:p w14:paraId="21DF6BFA" w14:textId="77777777" w:rsidR="00D418C6" w:rsidRPr="0092467E" w:rsidRDefault="00000000">
            <w:pPr>
              <w:rPr>
                <w:sz w:val="24"/>
                <w:szCs w:val="24"/>
              </w:rPr>
            </w:pPr>
            <w:r w:rsidRPr="0092467E">
              <w:rPr>
                <w:b/>
                <w:sz w:val="24"/>
                <w:szCs w:val="24"/>
              </w:rPr>
              <w:t>15</w:t>
            </w:r>
          </w:p>
        </w:tc>
        <w:tc>
          <w:tcPr>
            <w:tcW w:w="9504" w:type="dxa"/>
          </w:tcPr>
          <w:p w14:paraId="133E1836" w14:textId="77777777" w:rsidR="00D418C6" w:rsidRPr="0092467E" w:rsidRDefault="00000000">
            <w:pPr>
              <w:rPr>
                <w:sz w:val="24"/>
                <w:szCs w:val="24"/>
              </w:rPr>
            </w:pPr>
            <w:r w:rsidRPr="0092467E">
              <w:rPr>
                <w:sz w:val="24"/>
                <w:szCs w:val="24"/>
              </w:rPr>
              <w:t>Direct pulp capping after small carious exposure with controllable bleeding: brief low-energy laser irradiation for decontamination/hemostasis (avoid thermal pulp injury), then calcium-silicate cement and definitive seal. Adjunctive; success depends on exposure size, hemostasis, and seal.</w:t>
            </w:r>
          </w:p>
        </w:tc>
        <w:tc>
          <w:tcPr>
            <w:tcW w:w="1440" w:type="dxa"/>
          </w:tcPr>
          <w:p w14:paraId="5033808B" w14:textId="77777777" w:rsidR="00D418C6" w:rsidRPr="0092467E" w:rsidRDefault="00000000">
            <w:pPr>
              <w:rPr>
                <w:sz w:val="24"/>
                <w:szCs w:val="24"/>
              </w:rPr>
            </w:pPr>
            <w:r w:rsidRPr="0092467E">
              <w:rPr>
                <w:sz w:val="24"/>
                <w:szCs w:val="24"/>
              </w:rPr>
              <w:t>18, 19</w:t>
            </w:r>
          </w:p>
        </w:tc>
      </w:tr>
      <w:tr w:rsidR="00D418C6" w:rsidRPr="0092467E" w14:paraId="0612CF26" w14:textId="77777777" w:rsidTr="0092467E">
        <w:tc>
          <w:tcPr>
            <w:tcW w:w="576" w:type="dxa"/>
          </w:tcPr>
          <w:p w14:paraId="779D226F" w14:textId="77777777" w:rsidR="00D418C6" w:rsidRPr="0092467E" w:rsidRDefault="00000000">
            <w:pPr>
              <w:rPr>
                <w:sz w:val="24"/>
                <w:szCs w:val="24"/>
              </w:rPr>
            </w:pPr>
            <w:r w:rsidRPr="0092467E">
              <w:rPr>
                <w:b/>
                <w:sz w:val="24"/>
                <w:szCs w:val="24"/>
              </w:rPr>
              <w:t>16</w:t>
            </w:r>
          </w:p>
        </w:tc>
        <w:tc>
          <w:tcPr>
            <w:tcW w:w="9504" w:type="dxa"/>
          </w:tcPr>
          <w:p w14:paraId="623EE42C" w14:textId="77777777" w:rsidR="00D418C6" w:rsidRPr="0092467E" w:rsidRDefault="00000000">
            <w:pPr>
              <w:rPr>
                <w:sz w:val="24"/>
                <w:szCs w:val="24"/>
              </w:rPr>
            </w:pPr>
            <w:r w:rsidRPr="0092467E">
              <w:rPr>
                <w:sz w:val="24"/>
                <w:szCs w:val="24"/>
              </w:rPr>
              <w:t>Final-step laser disinfection (</w:t>
            </w:r>
            <w:proofErr w:type="gramStart"/>
            <w:r w:rsidRPr="0092467E">
              <w:rPr>
                <w:sz w:val="24"/>
                <w:szCs w:val="24"/>
              </w:rPr>
              <w:t>Er,Cr</w:t>
            </w:r>
            <w:proofErr w:type="gramEnd"/>
            <w:r w:rsidRPr="0092467E">
              <w:rPr>
                <w:sz w:val="24"/>
                <w:szCs w:val="24"/>
              </w:rPr>
              <w:t>:YSGG/</w:t>
            </w:r>
            <w:proofErr w:type="gramStart"/>
            <w:r w:rsidRPr="0092467E">
              <w:rPr>
                <w:sz w:val="24"/>
                <w:szCs w:val="24"/>
              </w:rPr>
              <w:t>Er:YAG</w:t>
            </w:r>
            <w:proofErr w:type="gramEnd"/>
            <w:r w:rsidRPr="0092467E">
              <w:rPr>
                <w:sz w:val="24"/>
                <w:szCs w:val="24"/>
              </w:rPr>
              <w:t xml:space="preserve"> LAI or diode) after chemo-mechanical prep enhances smear-layer removal and deepens tubule disinfection vs irrigation alone; must control apical heat transmission (cooling, sub-ablative settings). Adjunct to the EDTA/NaOCl sequence.</w:t>
            </w:r>
          </w:p>
        </w:tc>
        <w:tc>
          <w:tcPr>
            <w:tcW w:w="1440" w:type="dxa"/>
          </w:tcPr>
          <w:p w14:paraId="21C462E6" w14:textId="77777777" w:rsidR="00D418C6" w:rsidRPr="0092467E" w:rsidRDefault="00000000">
            <w:pPr>
              <w:rPr>
                <w:sz w:val="24"/>
                <w:szCs w:val="24"/>
              </w:rPr>
            </w:pPr>
            <w:r w:rsidRPr="0092467E">
              <w:rPr>
                <w:sz w:val="24"/>
                <w:szCs w:val="24"/>
              </w:rPr>
              <w:t>17, 32</w:t>
            </w:r>
          </w:p>
        </w:tc>
      </w:tr>
    </w:tbl>
    <w:p w14:paraId="1AA1A41F" w14:textId="1182847F" w:rsidR="00D418C6" w:rsidRPr="0092467E" w:rsidRDefault="00000000">
      <w:pPr>
        <w:spacing w:before="200" w:after="100"/>
        <w:rPr>
          <w:sz w:val="24"/>
          <w:szCs w:val="24"/>
        </w:rPr>
      </w:pPr>
      <w:r w:rsidRPr="0092467E">
        <w:rPr>
          <w:b/>
          <w:sz w:val="24"/>
          <w:szCs w:val="24"/>
        </w:rPr>
        <w:t>Category C</w:t>
      </w:r>
      <w:r w:rsidR="0092467E" w:rsidRPr="0092467E">
        <w:rPr>
          <w:b/>
          <w:sz w:val="24"/>
          <w:szCs w:val="24"/>
        </w:rPr>
        <w:t>-</w:t>
      </w:r>
      <w:r w:rsidRPr="0092467E">
        <w:rPr>
          <w:b/>
          <w:sz w:val="24"/>
          <w:szCs w:val="24"/>
        </w:rPr>
        <w:t xml:space="preserve"> Restorative / Prosthetic</w:t>
      </w:r>
    </w:p>
    <w:tbl>
      <w:tblPr>
        <w:tblStyle w:val="TableGrid"/>
        <w:tblW w:w="0" w:type="auto"/>
        <w:tblLook w:val="04A0" w:firstRow="1" w:lastRow="0" w:firstColumn="1" w:lastColumn="0" w:noHBand="0" w:noVBand="1"/>
      </w:tblPr>
      <w:tblGrid>
        <w:gridCol w:w="531"/>
        <w:gridCol w:w="7057"/>
        <w:gridCol w:w="1268"/>
      </w:tblGrid>
      <w:tr w:rsidR="00D418C6" w:rsidRPr="0092467E" w14:paraId="66CB85C7" w14:textId="77777777" w:rsidTr="0092467E">
        <w:tc>
          <w:tcPr>
            <w:tcW w:w="576" w:type="dxa"/>
          </w:tcPr>
          <w:p w14:paraId="4621FF65" w14:textId="77777777" w:rsidR="00D418C6" w:rsidRPr="0092467E" w:rsidRDefault="00000000">
            <w:pPr>
              <w:rPr>
                <w:sz w:val="24"/>
                <w:szCs w:val="24"/>
              </w:rPr>
            </w:pPr>
            <w:r w:rsidRPr="0092467E">
              <w:rPr>
                <w:b/>
                <w:sz w:val="24"/>
                <w:szCs w:val="24"/>
              </w:rPr>
              <w:t>#</w:t>
            </w:r>
          </w:p>
        </w:tc>
        <w:tc>
          <w:tcPr>
            <w:tcW w:w="9504" w:type="dxa"/>
          </w:tcPr>
          <w:p w14:paraId="214FA022" w14:textId="77777777" w:rsidR="00D418C6" w:rsidRPr="0092467E" w:rsidRDefault="00000000">
            <w:pPr>
              <w:rPr>
                <w:sz w:val="24"/>
                <w:szCs w:val="24"/>
              </w:rPr>
            </w:pPr>
            <w:r w:rsidRPr="0092467E">
              <w:rPr>
                <w:b/>
                <w:sz w:val="24"/>
                <w:szCs w:val="24"/>
              </w:rPr>
              <w:t>Expected evidence-based approach &amp; key parameters (reference standard)</w:t>
            </w:r>
          </w:p>
        </w:tc>
        <w:tc>
          <w:tcPr>
            <w:tcW w:w="1440" w:type="dxa"/>
          </w:tcPr>
          <w:p w14:paraId="06BEF50C" w14:textId="77777777" w:rsidR="00D418C6" w:rsidRPr="0092467E" w:rsidRDefault="00000000">
            <w:pPr>
              <w:rPr>
                <w:sz w:val="24"/>
                <w:szCs w:val="24"/>
              </w:rPr>
            </w:pPr>
            <w:r w:rsidRPr="0092467E">
              <w:rPr>
                <w:b/>
                <w:sz w:val="24"/>
                <w:szCs w:val="24"/>
              </w:rPr>
              <w:t>Anchor refs</w:t>
            </w:r>
          </w:p>
        </w:tc>
      </w:tr>
      <w:tr w:rsidR="00D418C6" w:rsidRPr="0092467E" w14:paraId="38861DC3" w14:textId="77777777" w:rsidTr="0092467E">
        <w:tc>
          <w:tcPr>
            <w:tcW w:w="576" w:type="dxa"/>
          </w:tcPr>
          <w:p w14:paraId="28D81AE1" w14:textId="77777777" w:rsidR="00D418C6" w:rsidRPr="0092467E" w:rsidRDefault="00000000">
            <w:pPr>
              <w:rPr>
                <w:sz w:val="24"/>
                <w:szCs w:val="24"/>
              </w:rPr>
            </w:pPr>
            <w:r w:rsidRPr="0092467E">
              <w:rPr>
                <w:b/>
                <w:sz w:val="24"/>
                <w:szCs w:val="24"/>
              </w:rPr>
              <w:t>17</w:t>
            </w:r>
          </w:p>
        </w:tc>
        <w:tc>
          <w:tcPr>
            <w:tcW w:w="9504" w:type="dxa"/>
          </w:tcPr>
          <w:p w14:paraId="058BFFAF" w14:textId="77777777" w:rsidR="00D418C6" w:rsidRPr="0092467E" w:rsidRDefault="00000000">
            <w:pPr>
              <w:rPr>
                <w:sz w:val="24"/>
                <w:szCs w:val="24"/>
              </w:rPr>
            </w:pPr>
            <w:proofErr w:type="gramStart"/>
            <w:r w:rsidRPr="0092467E">
              <w:rPr>
                <w:sz w:val="24"/>
                <w:szCs w:val="24"/>
              </w:rPr>
              <w:t>Er:YAG</w:t>
            </w:r>
            <w:proofErr w:type="gramEnd"/>
            <w:r w:rsidRPr="0092467E">
              <w:rPr>
                <w:sz w:val="24"/>
                <w:szCs w:val="24"/>
              </w:rPr>
              <w:t xml:space="preserve"> (2940 nm) </w:t>
            </w:r>
            <w:proofErr w:type="gramStart"/>
            <w:r w:rsidRPr="0092467E">
              <w:rPr>
                <w:sz w:val="24"/>
                <w:szCs w:val="24"/>
              </w:rPr>
              <w:t>caries</w:t>
            </w:r>
            <w:proofErr w:type="gramEnd"/>
            <w:r w:rsidRPr="0092467E">
              <w:rPr>
                <w:sz w:val="24"/>
                <w:szCs w:val="24"/>
              </w:rPr>
              <w:t xml:space="preserve"> removal/cavity prep is evidence-supported and minimally invasive via selective ablation of demineralized tissue with water spray; often reduces need for local anesthesia (advantageous for an anxious patient). Illustrative: ~200–350 mJ, ~10–20 Hz with water for dentin. WFLD consensus supports selective laser </w:t>
            </w:r>
            <w:proofErr w:type="gramStart"/>
            <w:r w:rsidRPr="0092467E">
              <w:rPr>
                <w:sz w:val="24"/>
                <w:szCs w:val="24"/>
              </w:rPr>
              <w:t>caries</w:t>
            </w:r>
            <w:proofErr w:type="gramEnd"/>
            <w:r w:rsidRPr="0092467E">
              <w:rPr>
                <w:sz w:val="24"/>
                <w:szCs w:val="24"/>
              </w:rPr>
              <w:t xml:space="preserve"> removal.</w:t>
            </w:r>
          </w:p>
        </w:tc>
        <w:tc>
          <w:tcPr>
            <w:tcW w:w="1440" w:type="dxa"/>
          </w:tcPr>
          <w:p w14:paraId="66DC9D29" w14:textId="77777777" w:rsidR="00D418C6" w:rsidRPr="0092467E" w:rsidRDefault="00000000">
            <w:pPr>
              <w:rPr>
                <w:sz w:val="24"/>
                <w:szCs w:val="24"/>
              </w:rPr>
            </w:pPr>
            <w:r w:rsidRPr="0092467E">
              <w:rPr>
                <w:sz w:val="24"/>
                <w:szCs w:val="24"/>
              </w:rPr>
              <w:t>1, 24</w:t>
            </w:r>
          </w:p>
        </w:tc>
      </w:tr>
      <w:tr w:rsidR="00D418C6" w:rsidRPr="0092467E" w14:paraId="451499AB" w14:textId="77777777" w:rsidTr="0092467E">
        <w:tc>
          <w:tcPr>
            <w:tcW w:w="576" w:type="dxa"/>
          </w:tcPr>
          <w:p w14:paraId="0C30A2F3" w14:textId="77777777" w:rsidR="00D418C6" w:rsidRPr="0092467E" w:rsidRDefault="00000000">
            <w:pPr>
              <w:rPr>
                <w:sz w:val="24"/>
                <w:szCs w:val="24"/>
              </w:rPr>
            </w:pPr>
            <w:r w:rsidRPr="0092467E">
              <w:rPr>
                <w:b/>
                <w:sz w:val="24"/>
                <w:szCs w:val="24"/>
              </w:rPr>
              <w:t>18</w:t>
            </w:r>
          </w:p>
        </w:tc>
        <w:tc>
          <w:tcPr>
            <w:tcW w:w="9504" w:type="dxa"/>
          </w:tcPr>
          <w:p w14:paraId="40E80757" w14:textId="77777777" w:rsidR="00D418C6" w:rsidRPr="0092467E" w:rsidRDefault="00000000">
            <w:pPr>
              <w:rPr>
                <w:sz w:val="24"/>
                <w:szCs w:val="24"/>
              </w:rPr>
            </w:pPr>
            <w:r w:rsidRPr="0092467E">
              <w:rPr>
                <w:sz w:val="24"/>
                <w:szCs w:val="24"/>
              </w:rPr>
              <w:t xml:space="preserve">CRITICAL ACCURACY CHECK: </w:t>
            </w:r>
            <w:proofErr w:type="gramStart"/>
            <w:r w:rsidRPr="0092467E">
              <w:rPr>
                <w:sz w:val="24"/>
                <w:szCs w:val="24"/>
              </w:rPr>
              <w:t>Er:YAG</w:t>
            </w:r>
            <w:proofErr w:type="gramEnd"/>
            <w:r w:rsidRPr="0092467E">
              <w:rPr>
                <w:sz w:val="24"/>
                <w:szCs w:val="24"/>
              </w:rPr>
              <w:t xml:space="preserve"> conditioning alone produces LOWER bond strength than phosphoric-acid etching and does NOT replace acid etching; acid </w:t>
            </w:r>
            <w:proofErr w:type="gramStart"/>
            <w:r w:rsidRPr="0092467E">
              <w:rPr>
                <w:sz w:val="24"/>
                <w:szCs w:val="24"/>
              </w:rPr>
              <w:t>etch</w:t>
            </w:r>
            <w:proofErr w:type="gramEnd"/>
            <w:r w:rsidRPr="0092467E">
              <w:rPr>
                <w:sz w:val="24"/>
                <w:szCs w:val="24"/>
              </w:rPr>
              <w:t xml:space="preserve"> (and bur+acid) is superior, and laser+acid rarely exceeds acid alone. A response claiming laser etching is superior to acid etch is INCORRECT and should lose Accuracy/Hallucination marks. Mechanism: irregular ablated surface with subsurface fissuring.</w:t>
            </w:r>
          </w:p>
        </w:tc>
        <w:tc>
          <w:tcPr>
            <w:tcW w:w="1440" w:type="dxa"/>
          </w:tcPr>
          <w:p w14:paraId="206E5DE3" w14:textId="77777777" w:rsidR="00D418C6" w:rsidRPr="0092467E" w:rsidRDefault="00000000">
            <w:pPr>
              <w:rPr>
                <w:sz w:val="24"/>
                <w:szCs w:val="24"/>
              </w:rPr>
            </w:pPr>
            <w:r w:rsidRPr="0092467E">
              <w:rPr>
                <w:sz w:val="24"/>
                <w:szCs w:val="24"/>
              </w:rPr>
              <w:t>24, 25</w:t>
            </w:r>
          </w:p>
        </w:tc>
      </w:tr>
      <w:tr w:rsidR="00D418C6" w:rsidRPr="0092467E" w14:paraId="7FE82A37" w14:textId="77777777" w:rsidTr="0092467E">
        <w:tc>
          <w:tcPr>
            <w:tcW w:w="576" w:type="dxa"/>
          </w:tcPr>
          <w:p w14:paraId="4258048C" w14:textId="77777777" w:rsidR="00D418C6" w:rsidRPr="0092467E" w:rsidRDefault="00000000">
            <w:pPr>
              <w:rPr>
                <w:sz w:val="24"/>
                <w:szCs w:val="24"/>
              </w:rPr>
            </w:pPr>
            <w:r w:rsidRPr="0092467E">
              <w:rPr>
                <w:b/>
                <w:sz w:val="24"/>
                <w:szCs w:val="24"/>
              </w:rPr>
              <w:lastRenderedPageBreak/>
              <w:t>19</w:t>
            </w:r>
          </w:p>
        </w:tc>
        <w:tc>
          <w:tcPr>
            <w:tcW w:w="9504" w:type="dxa"/>
          </w:tcPr>
          <w:p w14:paraId="45B33704" w14:textId="77777777" w:rsidR="00D418C6" w:rsidRPr="0092467E" w:rsidRDefault="00000000">
            <w:pPr>
              <w:rPr>
                <w:sz w:val="24"/>
                <w:szCs w:val="24"/>
              </w:rPr>
            </w:pPr>
            <w:proofErr w:type="gramStart"/>
            <w:r w:rsidRPr="0092467E">
              <w:rPr>
                <w:sz w:val="24"/>
                <w:szCs w:val="24"/>
              </w:rPr>
              <w:t>Nd:YAG</w:t>
            </w:r>
            <w:proofErr w:type="gramEnd"/>
            <w:r w:rsidRPr="0092467E">
              <w:rPr>
                <w:sz w:val="24"/>
                <w:szCs w:val="24"/>
              </w:rPr>
              <w:t xml:space="preserve"> (1064 nm) for dentinal hypersensitivity: mechanism = melting/recrystallization occluding/narrowing dentinal tubules plus a neural analgesic effect; meta-analysis of near-infrared lasers shows efficacy. Use low power (~1–2 W) with care to avoid pulpal thermal injury; relief is durable but may need repeat sessions. </w:t>
            </w:r>
            <w:proofErr w:type="gramStart"/>
            <w:r w:rsidRPr="0092467E">
              <w:rPr>
                <w:sz w:val="24"/>
                <w:szCs w:val="24"/>
              </w:rPr>
              <w:t>Combining</w:t>
            </w:r>
            <w:proofErr w:type="gramEnd"/>
            <w:r w:rsidRPr="0092467E">
              <w:rPr>
                <w:sz w:val="24"/>
                <w:szCs w:val="24"/>
              </w:rPr>
              <w:t xml:space="preserve"> with desensitizers can improve results.</w:t>
            </w:r>
          </w:p>
        </w:tc>
        <w:tc>
          <w:tcPr>
            <w:tcW w:w="1440" w:type="dxa"/>
          </w:tcPr>
          <w:p w14:paraId="07526B39" w14:textId="77777777" w:rsidR="00D418C6" w:rsidRPr="0092467E" w:rsidRDefault="00000000">
            <w:pPr>
              <w:rPr>
                <w:sz w:val="24"/>
                <w:szCs w:val="24"/>
              </w:rPr>
            </w:pPr>
            <w:r w:rsidRPr="0092467E">
              <w:rPr>
                <w:sz w:val="24"/>
                <w:szCs w:val="24"/>
              </w:rPr>
              <w:t>20, 21</w:t>
            </w:r>
          </w:p>
        </w:tc>
      </w:tr>
      <w:tr w:rsidR="00D418C6" w:rsidRPr="0092467E" w14:paraId="17446D47" w14:textId="77777777" w:rsidTr="0092467E">
        <w:tc>
          <w:tcPr>
            <w:tcW w:w="576" w:type="dxa"/>
          </w:tcPr>
          <w:p w14:paraId="08A88F3F" w14:textId="77777777" w:rsidR="00D418C6" w:rsidRPr="0092467E" w:rsidRDefault="00000000">
            <w:pPr>
              <w:rPr>
                <w:sz w:val="24"/>
                <w:szCs w:val="24"/>
              </w:rPr>
            </w:pPr>
            <w:r w:rsidRPr="0092467E">
              <w:rPr>
                <w:b/>
                <w:sz w:val="24"/>
                <w:szCs w:val="24"/>
              </w:rPr>
              <w:t>20</w:t>
            </w:r>
          </w:p>
        </w:tc>
        <w:tc>
          <w:tcPr>
            <w:tcW w:w="9504" w:type="dxa"/>
          </w:tcPr>
          <w:p w14:paraId="458C22C0" w14:textId="77777777" w:rsidR="00D418C6" w:rsidRPr="0092467E" w:rsidRDefault="00000000">
            <w:pPr>
              <w:rPr>
                <w:sz w:val="24"/>
                <w:szCs w:val="24"/>
              </w:rPr>
            </w:pPr>
            <w:r w:rsidRPr="0092467E">
              <w:rPr>
                <w:sz w:val="24"/>
                <w:szCs w:val="24"/>
              </w:rPr>
              <w:t>Laser/light-activated whitening: systematic-review evidence shows light/laser activation adds little to no clinically meaningful long-term benefit over peroxide gel alone. The key safety point is intrapulpal temperature: keep the rise &lt;5.5–5.6 C (depends on wavelength/power/time). Manage post-whitening sensitivity. A strong answer is skeptical of “laser-whitening superiority” marketing claims.</w:t>
            </w:r>
          </w:p>
        </w:tc>
        <w:tc>
          <w:tcPr>
            <w:tcW w:w="1440" w:type="dxa"/>
          </w:tcPr>
          <w:p w14:paraId="2C1E08CD" w14:textId="77777777" w:rsidR="00D418C6" w:rsidRPr="0092467E" w:rsidRDefault="00000000">
            <w:pPr>
              <w:rPr>
                <w:sz w:val="24"/>
                <w:szCs w:val="24"/>
              </w:rPr>
            </w:pPr>
            <w:r w:rsidRPr="0092467E">
              <w:rPr>
                <w:sz w:val="24"/>
                <w:szCs w:val="24"/>
              </w:rPr>
              <w:t>22, 23</w:t>
            </w:r>
          </w:p>
        </w:tc>
      </w:tr>
      <w:tr w:rsidR="00D418C6" w:rsidRPr="0092467E" w14:paraId="1D1FF7CF" w14:textId="77777777" w:rsidTr="0092467E">
        <w:tc>
          <w:tcPr>
            <w:tcW w:w="576" w:type="dxa"/>
          </w:tcPr>
          <w:p w14:paraId="3720F73D" w14:textId="77777777" w:rsidR="00D418C6" w:rsidRPr="0092467E" w:rsidRDefault="00000000">
            <w:pPr>
              <w:rPr>
                <w:sz w:val="24"/>
                <w:szCs w:val="24"/>
              </w:rPr>
            </w:pPr>
            <w:r w:rsidRPr="0092467E">
              <w:rPr>
                <w:b/>
                <w:sz w:val="24"/>
                <w:szCs w:val="24"/>
              </w:rPr>
              <w:t>21</w:t>
            </w:r>
          </w:p>
        </w:tc>
        <w:tc>
          <w:tcPr>
            <w:tcW w:w="9504" w:type="dxa"/>
          </w:tcPr>
          <w:p w14:paraId="06B9ACB7" w14:textId="77777777" w:rsidR="00D418C6" w:rsidRPr="0092467E" w:rsidRDefault="00000000">
            <w:pPr>
              <w:rPr>
                <w:sz w:val="24"/>
                <w:szCs w:val="24"/>
              </w:rPr>
            </w:pPr>
            <w:r w:rsidRPr="0092467E">
              <w:rPr>
                <w:sz w:val="24"/>
                <w:szCs w:val="24"/>
              </w:rPr>
              <w:t>Diode laser troughing for crown impression: effective for atraumatic margin exposure and hemostasis (good when the margin is supracrestal and biologic width intact, as here). Must avoid bone contact and damage to the prepared margin; over-aggressive use risks recession. Comparable to cord/paste with better bleeding control. Diode ~0.8–1.5 W.</w:t>
            </w:r>
          </w:p>
        </w:tc>
        <w:tc>
          <w:tcPr>
            <w:tcW w:w="1440" w:type="dxa"/>
          </w:tcPr>
          <w:p w14:paraId="1C239BE2" w14:textId="77777777" w:rsidR="00D418C6" w:rsidRPr="0092467E" w:rsidRDefault="00000000">
            <w:pPr>
              <w:rPr>
                <w:sz w:val="24"/>
                <w:szCs w:val="24"/>
              </w:rPr>
            </w:pPr>
            <w:r w:rsidRPr="0092467E">
              <w:rPr>
                <w:sz w:val="24"/>
                <w:szCs w:val="24"/>
              </w:rPr>
              <w:t>2, 30</w:t>
            </w:r>
          </w:p>
        </w:tc>
      </w:tr>
      <w:tr w:rsidR="00D418C6" w:rsidRPr="0092467E" w14:paraId="7DFDDFC8" w14:textId="77777777" w:rsidTr="0092467E">
        <w:tc>
          <w:tcPr>
            <w:tcW w:w="576" w:type="dxa"/>
          </w:tcPr>
          <w:p w14:paraId="6E727758" w14:textId="77777777" w:rsidR="00D418C6" w:rsidRPr="0092467E" w:rsidRDefault="00000000">
            <w:pPr>
              <w:rPr>
                <w:sz w:val="24"/>
                <w:szCs w:val="24"/>
              </w:rPr>
            </w:pPr>
            <w:r w:rsidRPr="0092467E">
              <w:rPr>
                <w:b/>
                <w:sz w:val="24"/>
                <w:szCs w:val="24"/>
              </w:rPr>
              <w:t>22</w:t>
            </w:r>
          </w:p>
        </w:tc>
        <w:tc>
          <w:tcPr>
            <w:tcW w:w="9504" w:type="dxa"/>
          </w:tcPr>
          <w:p w14:paraId="38595F2F" w14:textId="77777777" w:rsidR="00D418C6" w:rsidRPr="0092467E" w:rsidRDefault="00000000">
            <w:pPr>
              <w:rPr>
                <w:sz w:val="24"/>
                <w:szCs w:val="24"/>
              </w:rPr>
            </w:pPr>
            <w:proofErr w:type="gramStart"/>
            <w:r w:rsidRPr="0092467E">
              <w:rPr>
                <w:sz w:val="24"/>
                <w:szCs w:val="24"/>
              </w:rPr>
              <w:t>Er:YAG</w:t>
            </w:r>
            <w:proofErr w:type="gramEnd"/>
            <w:r w:rsidRPr="0092467E">
              <w:rPr>
                <w:sz w:val="24"/>
                <w:szCs w:val="24"/>
              </w:rPr>
              <w:t xml:space="preserve"> (2940 nm) debonding of an intact ceramic veneer: laser transmits through the ceramic and ablates the resin cement (photothermal/photoablative), enabling removal while preserving tooth and often the veneer. Illustrative: ~1.5–5.4 W (150–540 mJ), ~10–20 Hz; non-contact scanning; intrapulpal rise stays &lt;5.5 C; faster than grinding. Failures are typically cohesive in cement.</w:t>
            </w:r>
          </w:p>
        </w:tc>
        <w:tc>
          <w:tcPr>
            <w:tcW w:w="1440" w:type="dxa"/>
          </w:tcPr>
          <w:p w14:paraId="57A55D6C" w14:textId="77777777" w:rsidR="00D418C6" w:rsidRPr="0092467E" w:rsidRDefault="00000000">
            <w:pPr>
              <w:rPr>
                <w:sz w:val="24"/>
                <w:szCs w:val="24"/>
              </w:rPr>
            </w:pPr>
            <w:r w:rsidRPr="0092467E">
              <w:rPr>
                <w:sz w:val="24"/>
                <w:szCs w:val="24"/>
              </w:rPr>
              <w:t>27, 28</w:t>
            </w:r>
          </w:p>
        </w:tc>
      </w:tr>
      <w:tr w:rsidR="00D418C6" w:rsidRPr="0092467E" w14:paraId="5B32D3A0" w14:textId="77777777" w:rsidTr="0092467E">
        <w:tc>
          <w:tcPr>
            <w:tcW w:w="576" w:type="dxa"/>
          </w:tcPr>
          <w:p w14:paraId="0F7EFCE9" w14:textId="77777777" w:rsidR="00D418C6" w:rsidRPr="0092467E" w:rsidRDefault="00000000">
            <w:pPr>
              <w:rPr>
                <w:sz w:val="24"/>
                <w:szCs w:val="24"/>
              </w:rPr>
            </w:pPr>
            <w:r w:rsidRPr="0092467E">
              <w:rPr>
                <w:b/>
                <w:sz w:val="24"/>
                <w:szCs w:val="24"/>
              </w:rPr>
              <w:t>23</w:t>
            </w:r>
          </w:p>
        </w:tc>
        <w:tc>
          <w:tcPr>
            <w:tcW w:w="9504" w:type="dxa"/>
          </w:tcPr>
          <w:p w14:paraId="15B936DC" w14:textId="77777777" w:rsidR="00D418C6" w:rsidRPr="0092467E" w:rsidRDefault="00000000">
            <w:pPr>
              <w:rPr>
                <w:sz w:val="24"/>
                <w:szCs w:val="24"/>
              </w:rPr>
            </w:pPr>
            <w:r w:rsidRPr="0092467E">
              <w:rPr>
                <w:sz w:val="24"/>
                <w:szCs w:val="24"/>
              </w:rPr>
              <w:t>Laser-fluorescence (DIAGNOdent): reasonable sensitivity but lower specificity for occlusal caries, so it is an ADJUNCT to visual-tactile exam, not a standalone diagnostic; over-reliance risks false positives and over-treatment of non-cavitated lesions. Decision here should favor preventive/monitoring management for non-cavitated fissures. Cite reported sensitivity/specificity from meta-analysis.</w:t>
            </w:r>
          </w:p>
        </w:tc>
        <w:tc>
          <w:tcPr>
            <w:tcW w:w="1440" w:type="dxa"/>
          </w:tcPr>
          <w:p w14:paraId="7D7A62F2" w14:textId="77777777" w:rsidR="00D418C6" w:rsidRPr="0092467E" w:rsidRDefault="00000000">
            <w:pPr>
              <w:rPr>
                <w:sz w:val="24"/>
                <w:szCs w:val="24"/>
              </w:rPr>
            </w:pPr>
            <w:r w:rsidRPr="0092467E">
              <w:rPr>
                <w:sz w:val="24"/>
                <w:szCs w:val="24"/>
              </w:rPr>
              <w:t>26, 1</w:t>
            </w:r>
          </w:p>
        </w:tc>
      </w:tr>
      <w:tr w:rsidR="00D418C6" w:rsidRPr="0092467E" w14:paraId="12503FD0" w14:textId="77777777" w:rsidTr="0092467E">
        <w:tc>
          <w:tcPr>
            <w:tcW w:w="576" w:type="dxa"/>
          </w:tcPr>
          <w:p w14:paraId="47ED88C0" w14:textId="77777777" w:rsidR="00D418C6" w:rsidRPr="0092467E" w:rsidRDefault="00000000">
            <w:pPr>
              <w:rPr>
                <w:sz w:val="24"/>
                <w:szCs w:val="24"/>
              </w:rPr>
            </w:pPr>
            <w:r w:rsidRPr="0092467E">
              <w:rPr>
                <w:b/>
                <w:sz w:val="24"/>
                <w:szCs w:val="24"/>
              </w:rPr>
              <w:t>24</w:t>
            </w:r>
          </w:p>
        </w:tc>
        <w:tc>
          <w:tcPr>
            <w:tcW w:w="9504" w:type="dxa"/>
          </w:tcPr>
          <w:p w14:paraId="7EA40F9A" w14:textId="77777777" w:rsidR="00D418C6" w:rsidRPr="0092467E" w:rsidRDefault="00000000">
            <w:pPr>
              <w:rPr>
                <w:sz w:val="24"/>
                <w:szCs w:val="24"/>
              </w:rPr>
            </w:pPr>
            <w:r w:rsidRPr="0092467E">
              <w:rPr>
                <w:sz w:val="24"/>
                <w:szCs w:val="24"/>
              </w:rPr>
              <w:t xml:space="preserve">Pediatric MIH: laser has an adjunctive role — PBM/laser desensitization for hypersensitivity and </w:t>
            </w:r>
            <w:proofErr w:type="gramStart"/>
            <w:r w:rsidRPr="0092467E">
              <w:rPr>
                <w:sz w:val="24"/>
                <w:szCs w:val="24"/>
              </w:rPr>
              <w:t>Er:YAG</w:t>
            </w:r>
            <w:proofErr w:type="gramEnd"/>
            <w:r w:rsidRPr="0092467E">
              <w:rPr>
                <w:sz w:val="24"/>
                <w:szCs w:val="24"/>
              </w:rPr>
              <w:t xml:space="preserve"> for conservative cavity prep; anesthesia is notoriously difficult in MIH and lasers may reduce that need. Evidence is limited; pediatric-specific safety (eye protection, low settings, behavior management) is essential. Not a stand-alone cure.</w:t>
            </w:r>
          </w:p>
        </w:tc>
        <w:tc>
          <w:tcPr>
            <w:tcW w:w="1440" w:type="dxa"/>
          </w:tcPr>
          <w:p w14:paraId="76F78FB0" w14:textId="77777777" w:rsidR="00D418C6" w:rsidRPr="0092467E" w:rsidRDefault="00000000">
            <w:pPr>
              <w:rPr>
                <w:sz w:val="24"/>
                <w:szCs w:val="24"/>
              </w:rPr>
            </w:pPr>
            <w:r w:rsidRPr="0092467E">
              <w:rPr>
                <w:sz w:val="24"/>
                <w:szCs w:val="24"/>
              </w:rPr>
              <w:t>29, 1</w:t>
            </w:r>
          </w:p>
        </w:tc>
      </w:tr>
    </w:tbl>
    <w:p w14:paraId="2BACBF31" w14:textId="77777777" w:rsidR="00D418C6" w:rsidRPr="0092467E" w:rsidRDefault="00000000">
      <w:pPr>
        <w:spacing w:before="120" w:after="160"/>
        <w:rPr>
          <w:iCs/>
          <w:sz w:val="24"/>
          <w:szCs w:val="24"/>
        </w:rPr>
      </w:pPr>
      <w:r w:rsidRPr="0092467E">
        <w:rPr>
          <w:iCs/>
          <w:sz w:val="24"/>
          <w:szCs w:val="24"/>
        </w:rPr>
        <w:t>All 24 vignettes are anchored to consensus documents or systematic-review/meta-analysis-level evidence. Guideline/consensus documents (sources 1-4) take precedence; sources 5-32 are systematic reviews, meta-analyses, or key primary studies. The authors verified each citation during vignette finalization and may add procedure-specific sources.</w:t>
      </w:r>
    </w:p>
    <w:p w14:paraId="1D2F9039" w14:textId="77777777" w:rsidR="00D418C6" w:rsidRPr="0092467E" w:rsidRDefault="00000000">
      <w:pPr>
        <w:rPr>
          <w:sz w:val="24"/>
          <w:szCs w:val="24"/>
        </w:rPr>
      </w:pPr>
      <w:r w:rsidRPr="0092467E">
        <w:rPr>
          <w:sz w:val="24"/>
          <w:szCs w:val="24"/>
        </w:rPr>
        <w:br w:type="page"/>
      </w:r>
    </w:p>
    <w:p w14:paraId="44BC90E1" w14:textId="77777777" w:rsidR="00D418C6" w:rsidRPr="0092467E" w:rsidRDefault="00000000">
      <w:pPr>
        <w:spacing w:before="200" w:after="100"/>
        <w:rPr>
          <w:sz w:val="24"/>
          <w:szCs w:val="24"/>
        </w:rPr>
      </w:pPr>
      <w:r w:rsidRPr="0092467E">
        <w:rPr>
          <w:b/>
          <w:sz w:val="24"/>
          <w:szCs w:val="24"/>
        </w:rPr>
        <w:lastRenderedPageBreak/>
        <w:t>Master Reference List (evaluator benchmark sources)</w:t>
      </w:r>
    </w:p>
    <w:p w14:paraId="110EEE18" w14:textId="77777777" w:rsidR="00D418C6" w:rsidRPr="0092467E" w:rsidRDefault="00000000">
      <w:pPr>
        <w:spacing w:after="100"/>
        <w:ind w:left="504" w:hanging="504"/>
        <w:rPr>
          <w:sz w:val="24"/>
          <w:szCs w:val="24"/>
        </w:rPr>
      </w:pPr>
      <w:r w:rsidRPr="0092467E">
        <w:rPr>
          <w:sz w:val="24"/>
          <w:szCs w:val="24"/>
        </w:rPr>
        <w:t>1. Nammour S, Brugnera Junior A, Zeinoun T, et al. Global consensus report of the World Federation for Laser Dentistry (WFLD) on laser-assisted caries treatment and prevention. Dent Med Probl. 2025;62(5):783-800. https://doi.org/10.17219/dmp/211449</w:t>
      </w:r>
    </w:p>
    <w:p w14:paraId="04D0C6D8" w14:textId="77777777" w:rsidR="00D418C6" w:rsidRPr="0092467E" w:rsidRDefault="00000000">
      <w:pPr>
        <w:spacing w:after="100"/>
        <w:ind w:left="504" w:hanging="504"/>
        <w:rPr>
          <w:sz w:val="24"/>
          <w:szCs w:val="24"/>
        </w:rPr>
      </w:pPr>
      <w:r w:rsidRPr="0092467E">
        <w:rPr>
          <w:sz w:val="24"/>
          <w:szCs w:val="24"/>
        </w:rPr>
        <w:t>2. Mills MP, Rosen PS, Chambrone L, Greenwell H, Kao RT, et al. American Academy of Periodontology best evidence consensus statement on the efficacy of laser therapy used alone or as an adjunct to non-surgical and surgical treatment of periodontitis and peri-implant diseases. J Periodontol. 2018;89(7):737-742.</w:t>
      </w:r>
    </w:p>
    <w:p w14:paraId="586901D1" w14:textId="77777777" w:rsidR="00D418C6" w:rsidRPr="0092467E" w:rsidRDefault="00000000">
      <w:pPr>
        <w:spacing w:after="100"/>
        <w:ind w:left="504" w:hanging="504"/>
        <w:rPr>
          <w:sz w:val="24"/>
          <w:szCs w:val="24"/>
        </w:rPr>
      </w:pPr>
      <w:r w:rsidRPr="0092467E">
        <w:rPr>
          <w:sz w:val="24"/>
          <w:szCs w:val="24"/>
        </w:rPr>
        <w:t>3. Elad S, Cheng KKF, Lalla RV, et al. MASCC/ISOO clinical practice guidelines for the management of mucositis secondary to cancer therapy. Cancer. 2020;126(19):4423-4431.</w:t>
      </w:r>
    </w:p>
    <w:p w14:paraId="4F77955A" w14:textId="77777777" w:rsidR="00D418C6" w:rsidRPr="0092467E" w:rsidRDefault="00000000">
      <w:pPr>
        <w:spacing w:after="100"/>
        <w:ind w:left="504" w:hanging="504"/>
        <w:rPr>
          <w:sz w:val="24"/>
          <w:szCs w:val="24"/>
        </w:rPr>
      </w:pPr>
      <w:r w:rsidRPr="0092467E">
        <w:rPr>
          <w:sz w:val="24"/>
          <w:szCs w:val="24"/>
        </w:rPr>
        <w:t>4. Zadik Y, Arany PR, Fregnani ER, et al. Systematic review of photobiomodulation for the management of oral mucositis in cancer patients and clinical practice guidelines. Support Care Cancer. 2019;27(10):3969-3983.</w:t>
      </w:r>
    </w:p>
    <w:p w14:paraId="39A98326" w14:textId="77777777" w:rsidR="00D418C6" w:rsidRPr="0092467E" w:rsidRDefault="00000000">
      <w:pPr>
        <w:spacing w:after="100"/>
        <w:ind w:left="504" w:hanging="504"/>
        <w:rPr>
          <w:sz w:val="24"/>
          <w:szCs w:val="24"/>
        </w:rPr>
      </w:pPr>
      <w:r w:rsidRPr="0092467E">
        <w:rPr>
          <w:sz w:val="24"/>
          <w:szCs w:val="24"/>
        </w:rPr>
        <w:t>5. Slot DE, Jorritsma KH, Cobb CM, Van der Weijden GA. The effect of the thermal diode laser (wavelength 808-980 nm) in non-surgical periodontal therapy: a systematic review and meta-analysis. J Clin Periodontol. 2014;41(7):681-692.</w:t>
      </w:r>
    </w:p>
    <w:p w14:paraId="37192066" w14:textId="77777777" w:rsidR="00D418C6" w:rsidRPr="0092467E" w:rsidRDefault="00000000">
      <w:pPr>
        <w:spacing w:after="100"/>
        <w:ind w:left="504" w:hanging="504"/>
        <w:rPr>
          <w:sz w:val="24"/>
          <w:szCs w:val="24"/>
        </w:rPr>
      </w:pPr>
      <w:r w:rsidRPr="0092467E">
        <w:rPr>
          <w:sz w:val="24"/>
          <w:szCs w:val="24"/>
        </w:rPr>
        <w:t>6. Qadri T, Javed F, Johannsen G, Gustafsson A. Role of diode lasers (810-980 nm) as adjuncts to scaling and root planing in the treatment of chronic periodontitis: a systematic review. Photomed Laser Surg. 2015;33(11):568-575.</w:t>
      </w:r>
    </w:p>
    <w:p w14:paraId="59FCA97E" w14:textId="77777777" w:rsidR="00D418C6" w:rsidRPr="0092467E" w:rsidRDefault="00000000">
      <w:pPr>
        <w:spacing w:after="100"/>
        <w:ind w:left="504" w:hanging="504"/>
        <w:rPr>
          <w:sz w:val="24"/>
          <w:szCs w:val="24"/>
        </w:rPr>
      </w:pPr>
      <w:r w:rsidRPr="0092467E">
        <w:rPr>
          <w:sz w:val="24"/>
          <w:szCs w:val="24"/>
        </w:rPr>
        <w:t>7. Diode laser and nonsurgical periodontal treatment: an umbrella review with meta-analysis. Lasers Dent Sci. 2025. https://doi.org/10.1007/s41547-025-00303-2</w:t>
      </w:r>
    </w:p>
    <w:p w14:paraId="4CFF28B4" w14:textId="77777777" w:rsidR="00D418C6" w:rsidRPr="0092467E" w:rsidRDefault="00000000">
      <w:pPr>
        <w:spacing w:after="100"/>
        <w:ind w:left="504" w:hanging="504"/>
        <w:rPr>
          <w:sz w:val="24"/>
          <w:szCs w:val="24"/>
        </w:rPr>
      </w:pPr>
      <w:r w:rsidRPr="0092467E">
        <w:rPr>
          <w:sz w:val="24"/>
          <w:szCs w:val="24"/>
        </w:rPr>
        <w:t>8. Adjunctive laser or antimicrobial photodynamic therapy to non-surgical mechanical instrumentation in patients with untreated periodontitis: a systematic review and meta-analysis. J Clin Periodontol. 2020. PMID:31859395</w:t>
      </w:r>
    </w:p>
    <w:p w14:paraId="73C96ABD" w14:textId="77777777" w:rsidR="00D418C6" w:rsidRPr="0092467E" w:rsidRDefault="00000000">
      <w:pPr>
        <w:spacing w:after="100"/>
        <w:ind w:left="504" w:hanging="504"/>
        <w:rPr>
          <w:sz w:val="24"/>
          <w:szCs w:val="24"/>
        </w:rPr>
      </w:pPr>
      <w:r w:rsidRPr="0092467E">
        <w:rPr>
          <w:sz w:val="24"/>
          <w:szCs w:val="24"/>
        </w:rPr>
        <w:t>9. Efficacy of adjunctive photodynamic therapy and lasers in the non-surgical periodontal treatment: a Bayesian network meta-analysis. Photodiagnosis Photodyn Ther. 2020.</w:t>
      </w:r>
    </w:p>
    <w:p w14:paraId="1110BD57" w14:textId="77777777" w:rsidR="00D418C6" w:rsidRPr="0092467E" w:rsidRDefault="00000000">
      <w:pPr>
        <w:spacing w:after="100"/>
        <w:ind w:left="504" w:hanging="504"/>
        <w:rPr>
          <w:sz w:val="24"/>
          <w:szCs w:val="24"/>
        </w:rPr>
      </w:pPr>
      <w:r w:rsidRPr="0092467E">
        <w:rPr>
          <w:sz w:val="24"/>
          <w:szCs w:val="24"/>
        </w:rPr>
        <w:t>10. The adjunctive role of antimicrobial photodynamic therapy to non-surgical treatment in patients with type 2 diabetes mellitus: a systematic review and meta-analysis. 2024.</w:t>
      </w:r>
    </w:p>
    <w:p w14:paraId="4A3C5CA4" w14:textId="77777777" w:rsidR="00D418C6" w:rsidRPr="0092467E" w:rsidRDefault="00000000">
      <w:pPr>
        <w:spacing w:after="100"/>
        <w:ind w:left="504" w:hanging="504"/>
        <w:rPr>
          <w:sz w:val="24"/>
          <w:szCs w:val="24"/>
        </w:rPr>
      </w:pPr>
      <w:r w:rsidRPr="0092467E">
        <w:rPr>
          <w:sz w:val="24"/>
          <w:szCs w:val="24"/>
        </w:rPr>
        <w:t xml:space="preserve">11. Li, et al. The clinical efficacy of </w:t>
      </w:r>
      <w:proofErr w:type="gramStart"/>
      <w:r w:rsidRPr="0092467E">
        <w:rPr>
          <w:sz w:val="24"/>
          <w:szCs w:val="24"/>
        </w:rPr>
        <w:t>Er:YAG</w:t>
      </w:r>
      <w:proofErr w:type="gramEnd"/>
      <w:r w:rsidRPr="0092467E">
        <w:rPr>
          <w:sz w:val="24"/>
          <w:szCs w:val="24"/>
        </w:rPr>
        <w:t xml:space="preserve"> lasers in the treatment of peri-implantitis: a systematic review and meta-analysis. Ann Palliat Med. 2021.</w:t>
      </w:r>
    </w:p>
    <w:p w14:paraId="08BAD599" w14:textId="77777777" w:rsidR="00D418C6" w:rsidRPr="0092467E" w:rsidRDefault="00000000">
      <w:pPr>
        <w:spacing w:after="100"/>
        <w:ind w:left="504" w:hanging="504"/>
        <w:rPr>
          <w:sz w:val="24"/>
          <w:szCs w:val="24"/>
        </w:rPr>
      </w:pPr>
      <w:r w:rsidRPr="0092467E">
        <w:rPr>
          <w:sz w:val="24"/>
          <w:szCs w:val="24"/>
        </w:rPr>
        <w:t xml:space="preserve">12. Efficacy of </w:t>
      </w:r>
      <w:proofErr w:type="gramStart"/>
      <w:r w:rsidRPr="0092467E">
        <w:rPr>
          <w:sz w:val="24"/>
          <w:szCs w:val="24"/>
        </w:rPr>
        <w:t>Er:YAG</w:t>
      </w:r>
      <w:proofErr w:type="gramEnd"/>
      <w:r w:rsidRPr="0092467E">
        <w:rPr>
          <w:sz w:val="24"/>
          <w:szCs w:val="24"/>
        </w:rPr>
        <w:t xml:space="preserve"> laser as a debridement method in surgical treatment for peri-implantitis: a systematic review. 2022.</w:t>
      </w:r>
    </w:p>
    <w:p w14:paraId="02A11625" w14:textId="77777777" w:rsidR="00D418C6" w:rsidRPr="0092467E" w:rsidRDefault="00000000">
      <w:pPr>
        <w:spacing w:after="100"/>
        <w:ind w:left="504" w:hanging="504"/>
        <w:rPr>
          <w:sz w:val="24"/>
          <w:szCs w:val="24"/>
        </w:rPr>
      </w:pPr>
      <w:r w:rsidRPr="0092467E">
        <w:rPr>
          <w:sz w:val="24"/>
          <w:szCs w:val="24"/>
        </w:rPr>
        <w:lastRenderedPageBreak/>
        <w:t>13. Wang HL, et al. Laser-assisted regenerative surgical therapy for peri-implantitis: a randomized controlled clinical trial. J Periodontol. 2021. https://doi.org/10.1002/JPER.20-0040</w:t>
      </w:r>
    </w:p>
    <w:p w14:paraId="78DB2875" w14:textId="77777777" w:rsidR="00D418C6" w:rsidRPr="0092467E" w:rsidRDefault="00000000">
      <w:pPr>
        <w:spacing w:after="100"/>
        <w:ind w:left="504" w:hanging="504"/>
        <w:rPr>
          <w:sz w:val="24"/>
          <w:szCs w:val="24"/>
        </w:rPr>
      </w:pPr>
      <w:r w:rsidRPr="0092467E">
        <w:rPr>
          <w:sz w:val="24"/>
          <w:szCs w:val="24"/>
        </w:rPr>
        <w:t>14. Diode versus CO2 laser therapy in the treatment of high labial frenulum attachment: a pilot randomized, double-</w:t>
      </w:r>
      <w:proofErr w:type="gramStart"/>
      <w:r w:rsidRPr="0092467E">
        <w:rPr>
          <w:sz w:val="24"/>
          <w:szCs w:val="24"/>
        </w:rPr>
        <w:t>blinded</w:t>
      </w:r>
      <w:proofErr w:type="gramEnd"/>
      <w:r w:rsidRPr="0092467E">
        <w:rPr>
          <w:sz w:val="24"/>
          <w:szCs w:val="24"/>
        </w:rPr>
        <w:t xml:space="preserve"> clinical trial. 2020.</w:t>
      </w:r>
    </w:p>
    <w:p w14:paraId="0AAC185B" w14:textId="77777777" w:rsidR="00D418C6" w:rsidRPr="0092467E" w:rsidRDefault="00000000">
      <w:pPr>
        <w:spacing w:after="100"/>
        <w:ind w:left="504" w:hanging="504"/>
        <w:rPr>
          <w:sz w:val="24"/>
          <w:szCs w:val="24"/>
        </w:rPr>
      </w:pPr>
      <w:r w:rsidRPr="0092467E">
        <w:rPr>
          <w:sz w:val="24"/>
          <w:szCs w:val="24"/>
        </w:rPr>
        <w:t>15. Efficacy of diode laser on healing in frenectomy compared to conventional scalpel frenectomy: a systematic review. 2025.</w:t>
      </w:r>
    </w:p>
    <w:p w14:paraId="072F0B3E" w14:textId="77777777" w:rsidR="00D418C6" w:rsidRPr="0092467E" w:rsidRDefault="00000000">
      <w:pPr>
        <w:spacing w:after="100"/>
        <w:ind w:left="504" w:hanging="504"/>
        <w:rPr>
          <w:sz w:val="24"/>
          <w:szCs w:val="24"/>
        </w:rPr>
      </w:pPr>
      <w:r w:rsidRPr="0092467E">
        <w:rPr>
          <w:sz w:val="24"/>
          <w:szCs w:val="24"/>
        </w:rPr>
        <w:t xml:space="preserve">16. Gingival melanin depigmentation by </w:t>
      </w:r>
      <w:proofErr w:type="gramStart"/>
      <w:r w:rsidRPr="0092467E">
        <w:rPr>
          <w:sz w:val="24"/>
          <w:szCs w:val="24"/>
        </w:rPr>
        <w:t>Er:YAG</w:t>
      </w:r>
      <w:proofErr w:type="gramEnd"/>
      <w:r w:rsidRPr="0092467E">
        <w:rPr>
          <w:sz w:val="24"/>
          <w:szCs w:val="24"/>
        </w:rPr>
        <w:t xml:space="preserve"> laser: a literature review. 2017. PMID:28985086</w:t>
      </w:r>
    </w:p>
    <w:p w14:paraId="32CEF522" w14:textId="77777777" w:rsidR="00D418C6" w:rsidRPr="0092467E" w:rsidRDefault="00000000">
      <w:pPr>
        <w:spacing w:after="100"/>
        <w:ind w:left="504" w:hanging="504"/>
        <w:rPr>
          <w:sz w:val="24"/>
          <w:szCs w:val="24"/>
        </w:rPr>
      </w:pPr>
      <w:r w:rsidRPr="0092467E">
        <w:rPr>
          <w:sz w:val="24"/>
          <w:szCs w:val="24"/>
        </w:rPr>
        <w:t xml:space="preserve">17. Enhancing root canal disinfection with </w:t>
      </w:r>
      <w:proofErr w:type="gramStart"/>
      <w:r w:rsidRPr="0092467E">
        <w:rPr>
          <w:sz w:val="24"/>
          <w:szCs w:val="24"/>
        </w:rPr>
        <w:t>Er:YAG</w:t>
      </w:r>
      <w:proofErr w:type="gramEnd"/>
      <w:r w:rsidRPr="0092467E">
        <w:rPr>
          <w:sz w:val="24"/>
          <w:szCs w:val="24"/>
        </w:rPr>
        <w:t xml:space="preserve"> laser (PIPS/SWEEPS): a systematic review. Dent J (Basel). 2025;13(3):101.</w:t>
      </w:r>
    </w:p>
    <w:p w14:paraId="489EE840" w14:textId="77777777" w:rsidR="00D418C6" w:rsidRPr="0092467E" w:rsidRDefault="00000000">
      <w:pPr>
        <w:spacing w:after="100"/>
        <w:ind w:left="504" w:hanging="504"/>
        <w:rPr>
          <w:sz w:val="24"/>
          <w:szCs w:val="24"/>
        </w:rPr>
      </w:pPr>
      <w:r w:rsidRPr="0092467E">
        <w:rPr>
          <w:sz w:val="24"/>
          <w:szCs w:val="24"/>
        </w:rPr>
        <w:t>18. The application of lasers in vital pulp therapy: clinical and radiographic outcomes. BMC Oral Health. 2024. https://doi.org/10.1186/s12903-024-04026-x</w:t>
      </w:r>
    </w:p>
    <w:p w14:paraId="1340C35B" w14:textId="77777777" w:rsidR="00D418C6" w:rsidRPr="0092467E" w:rsidRDefault="00000000">
      <w:pPr>
        <w:spacing w:after="100"/>
        <w:ind w:left="504" w:hanging="504"/>
        <w:rPr>
          <w:sz w:val="24"/>
          <w:szCs w:val="24"/>
        </w:rPr>
      </w:pPr>
      <w:r w:rsidRPr="0092467E">
        <w:rPr>
          <w:sz w:val="24"/>
          <w:szCs w:val="24"/>
        </w:rPr>
        <w:t>19. The application of lasers in vital pulp therapy: a review of histological effects. Lasers Med Sci. 2023. https://doi.org/10.1007/s10103-023-03854-7</w:t>
      </w:r>
    </w:p>
    <w:p w14:paraId="36934750" w14:textId="77777777" w:rsidR="00D418C6" w:rsidRPr="0092467E" w:rsidRDefault="00000000">
      <w:pPr>
        <w:spacing w:after="100"/>
        <w:ind w:left="504" w:hanging="504"/>
        <w:rPr>
          <w:sz w:val="24"/>
          <w:szCs w:val="24"/>
        </w:rPr>
      </w:pPr>
      <w:r w:rsidRPr="0092467E">
        <w:rPr>
          <w:sz w:val="24"/>
          <w:szCs w:val="24"/>
        </w:rPr>
        <w:t>20. Bellal S, El Feghali R, Mehta A, Namachivayam A, Benedicenti S. Efficacy of near-infrared dental lasers on dentinal hypersensitivity: a meta-analysis of randomized controlled clinical trials. Lasers Med Sci. 2022;37(2):733-744.</w:t>
      </w:r>
    </w:p>
    <w:p w14:paraId="4B2385F4" w14:textId="77777777" w:rsidR="00D418C6" w:rsidRPr="0092467E" w:rsidRDefault="00000000">
      <w:pPr>
        <w:spacing w:after="100"/>
        <w:ind w:left="504" w:hanging="504"/>
        <w:rPr>
          <w:sz w:val="24"/>
          <w:szCs w:val="24"/>
        </w:rPr>
      </w:pPr>
      <w:r w:rsidRPr="0092467E">
        <w:rPr>
          <w:sz w:val="24"/>
          <w:szCs w:val="24"/>
        </w:rPr>
        <w:t>21. The effect of lasers in occlusion of dentinal tubules and reducing dentinal hypersensitivity: a scoping review. BMC Oral Health. 2024. https://doi.org/10.1186/s12903-024-05182-w</w:t>
      </w:r>
    </w:p>
    <w:p w14:paraId="2CD6BCD4" w14:textId="77777777" w:rsidR="00D418C6" w:rsidRPr="0092467E" w:rsidRDefault="00000000">
      <w:pPr>
        <w:spacing w:after="100"/>
        <w:ind w:left="504" w:hanging="504"/>
        <w:rPr>
          <w:sz w:val="24"/>
          <w:szCs w:val="24"/>
        </w:rPr>
      </w:pPr>
      <w:r w:rsidRPr="0092467E">
        <w:rPr>
          <w:sz w:val="24"/>
          <w:szCs w:val="24"/>
        </w:rPr>
        <w:t>22. Buchalla W, Attin T. External whitening therapy with activation by heat, light or laser: a systematic review. Dent Mater. 2007;23(5):586-596.</w:t>
      </w:r>
    </w:p>
    <w:p w14:paraId="4516ED07" w14:textId="77777777" w:rsidR="00D418C6" w:rsidRPr="0092467E" w:rsidRDefault="00000000">
      <w:pPr>
        <w:spacing w:after="100"/>
        <w:ind w:left="504" w:hanging="504"/>
        <w:rPr>
          <w:sz w:val="24"/>
          <w:szCs w:val="24"/>
        </w:rPr>
      </w:pPr>
      <w:r w:rsidRPr="0092467E">
        <w:rPr>
          <w:sz w:val="24"/>
          <w:szCs w:val="24"/>
        </w:rPr>
        <w:t xml:space="preserve">23. Temperature changes in the pulp chamber during tooth bleaching assisted by diode laser (445 nm) using different power settings. Lasers Med Sci. </w:t>
      </w:r>
      <w:proofErr w:type="gramStart"/>
      <w:r w:rsidRPr="0092467E">
        <w:rPr>
          <w:sz w:val="24"/>
          <w:szCs w:val="24"/>
        </w:rPr>
        <w:t>2023;38:209</w:t>
      </w:r>
      <w:proofErr w:type="gramEnd"/>
      <w:r w:rsidRPr="0092467E">
        <w:rPr>
          <w:sz w:val="24"/>
          <w:szCs w:val="24"/>
        </w:rPr>
        <w:t>. https://doi.org/10.1007/s10103-023-03863-6</w:t>
      </w:r>
    </w:p>
    <w:p w14:paraId="1B90017C" w14:textId="77777777" w:rsidR="00D418C6" w:rsidRPr="0092467E" w:rsidRDefault="00000000">
      <w:pPr>
        <w:spacing w:after="100"/>
        <w:ind w:left="504" w:hanging="504"/>
        <w:rPr>
          <w:sz w:val="24"/>
          <w:szCs w:val="24"/>
        </w:rPr>
      </w:pPr>
      <w:r w:rsidRPr="0092467E">
        <w:rPr>
          <w:sz w:val="24"/>
          <w:szCs w:val="24"/>
        </w:rPr>
        <w:t>24. Dua D, Dua A, Anagnostaki E, Poli R, Parker S. Effect of different types of adhesive systems on the bond strength and marginal integrity of composite restorations in cavities prepared with the erbium laser: a systematic review. Lasers Med Sci. 2022;37(1):19-45.</w:t>
      </w:r>
    </w:p>
    <w:p w14:paraId="7E95A0A6" w14:textId="77777777" w:rsidR="00D418C6" w:rsidRPr="0092467E" w:rsidRDefault="00000000">
      <w:pPr>
        <w:spacing w:after="100"/>
        <w:ind w:left="504" w:hanging="504"/>
        <w:rPr>
          <w:sz w:val="24"/>
          <w:szCs w:val="24"/>
        </w:rPr>
      </w:pPr>
      <w:r w:rsidRPr="0092467E">
        <w:rPr>
          <w:sz w:val="24"/>
          <w:szCs w:val="24"/>
        </w:rPr>
        <w:t xml:space="preserve">25. Zhang Y, Jiang A. The influence of </w:t>
      </w:r>
      <w:proofErr w:type="gramStart"/>
      <w:r w:rsidRPr="0092467E">
        <w:rPr>
          <w:sz w:val="24"/>
          <w:szCs w:val="24"/>
        </w:rPr>
        <w:t>Er:YAG</w:t>
      </w:r>
      <w:proofErr w:type="gramEnd"/>
      <w:r w:rsidRPr="0092467E">
        <w:rPr>
          <w:sz w:val="24"/>
          <w:szCs w:val="24"/>
        </w:rPr>
        <w:t xml:space="preserve"> laser treatment on the shear bond strength of enamel and dentin: a systematic review and meta-analysis. Quintessence Int. 2020;51(1):8-16.</w:t>
      </w:r>
    </w:p>
    <w:p w14:paraId="4D40FFC2" w14:textId="77777777" w:rsidR="00D418C6" w:rsidRPr="0092467E" w:rsidRDefault="00000000">
      <w:pPr>
        <w:spacing w:after="100"/>
        <w:ind w:left="504" w:hanging="504"/>
        <w:rPr>
          <w:sz w:val="24"/>
          <w:szCs w:val="24"/>
        </w:rPr>
      </w:pPr>
      <w:r w:rsidRPr="0092467E">
        <w:rPr>
          <w:sz w:val="24"/>
          <w:szCs w:val="24"/>
        </w:rPr>
        <w:t>26. Systematic review and meta-analysis of diagnostic methods for occlusal surface caries (visual examination, bitewing radiography, laser fluorescence). 2021.</w:t>
      </w:r>
    </w:p>
    <w:p w14:paraId="51A08E44" w14:textId="77777777" w:rsidR="00D418C6" w:rsidRPr="0092467E" w:rsidRDefault="00000000">
      <w:pPr>
        <w:spacing w:after="100"/>
        <w:ind w:left="504" w:hanging="504"/>
        <w:rPr>
          <w:sz w:val="24"/>
          <w:szCs w:val="24"/>
        </w:rPr>
      </w:pPr>
      <w:r w:rsidRPr="0092467E">
        <w:rPr>
          <w:sz w:val="24"/>
          <w:szCs w:val="24"/>
        </w:rPr>
        <w:lastRenderedPageBreak/>
        <w:t xml:space="preserve">27. </w:t>
      </w:r>
      <w:proofErr w:type="gramStart"/>
      <w:r w:rsidRPr="0092467E">
        <w:rPr>
          <w:sz w:val="24"/>
          <w:szCs w:val="24"/>
        </w:rPr>
        <w:t>Er:YAG</w:t>
      </w:r>
      <w:proofErr w:type="gramEnd"/>
      <w:r w:rsidRPr="0092467E">
        <w:rPr>
          <w:sz w:val="24"/>
          <w:szCs w:val="24"/>
        </w:rPr>
        <w:t xml:space="preserve"> laser debonding of lithium disilicate laminate veneers: effect of laser power settings and veneer thickness on debonding time and pulpal temperature. J Lasers Med Sci. 2022.</w:t>
      </w:r>
    </w:p>
    <w:p w14:paraId="177EA9E9" w14:textId="77777777" w:rsidR="00D418C6" w:rsidRPr="0092467E" w:rsidRDefault="00000000">
      <w:pPr>
        <w:spacing w:after="100"/>
        <w:ind w:left="504" w:hanging="504"/>
        <w:rPr>
          <w:sz w:val="24"/>
          <w:szCs w:val="24"/>
        </w:rPr>
      </w:pPr>
      <w:r w:rsidRPr="0092467E">
        <w:rPr>
          <w:sz w:val="24"/>
          <w:szCs w:val="24"/>
        </w:rPr>
        <w:t xml:space="preserve">28. A narrative review and clinical study on </w:t>
      </w:r>
      <w:proofErr w:type="gramStart"/>
      <w:r w:rsidRPr="0092467E">
        <w:rPr>
          <w:sz w:val="24"/>
          <w:szCs w:val="24"/>
        </w:rPr>
        <w:t>Er:YAG</w:t>
      </w:r>
      <w:proofErr w:type="gramEnd"/>
      <w:r w:rsidRPr="0092467E">
        <w:rPr>
          <w:sz w:val="24"/>
          <w:szCs w:val="24"/>
        </w:rPr>
        <w:t xml:space="preserve"> laser debonding of ceramic and composite veneers. 2025.</w:t>
      </w:r>
    </w:p>
    <w:p w14:paraId="71491600" w14:textId="77777777" w:rsidR="00D418C6" w:rsidRPr="0092467E" w:rsidRDefault="00000000">
      <w:pPr>
        <w:spacing w:after="100"/>
        <w:ind w:left="504" w:hanging="504"/>
        <w:rPr>
          <w:sz w:val="24"/>
          <w:szCs w:val="24"/>
        </w:rPr>
      </w:pPr>
      <w:r w:rsidRPr="0092467E">
        <w:rPr>
          <w:sz w:val="24"/>
          <w:szCs w:val="24"/>
        </w:rPr>
        <w:t xml:space="preserve">29. Diode and </w:t>
      </w:r>
      <w:proofErr w:type="gramStart"/>
      <w:r w:rsidRPr="0092467E">
        <w:rPr>
          <w:sz w:val="24"/>
          <w:szCs w:val="24"/>
        </w:rPr>
        <w:t>Er:YAG</w:t>
      </w:r>
      <w:proofErr w:type="gramEnd"/>
      <w:r w:rsidRPr="0092467E">
        <w:rPr>
          <w:sz w:val="24"/>
          <w:szCs w:val="24"/>
        </w:rPr>
        <w:t xml:space="preserve"> laser therapy versus other desensitizing treatments for dentin hypersensitivity in molar-incisor hypomineralization: a systematic review. Lasers Med Sci. 2026. https://doi.org/10.1007/s10103-026-04830-7</w:t>
      </w:r>
    </w:p>
    <w:p w14:paraId="1BDDED59" w14:textId="77777777" w:rsidR="00D418C6" w:rsidRPr="0092467E" w:rsidRDefault="00000000">
      <w:pPr>
        <w:spacing w:after="100"/>
        <w:ind w:left="504" w:hanging="504"/>
        <w:rPr>
          <w:sz w:val="24"/>
          <w:szCs w:val="24"/>
        </w:rPr>
      </w:pPr>
      <w:r w:rsidRPr="0092467E">
        <w:rPr>
          <w:sz w:val="24"/>
          <w:szCs w:val="24"/>
        </w:rPr>
        <w:t>30. Sachelarie L, Cristea R, Burlui E, Hurjui LL. Laser technology in dentistry: from clinical applications to future innovations. Dent J (Basel). 2024;12(12):420. https://doi.org/10.3390/dj12120420</w:t>
      </w:r>
    </w:p>
    <w:p w14:paraId="2BE71FD0" w14:textId="77777777" w:rsidR="00D418C6" w:rsidRPr="0092467E" w:rsidRDefault="00000000">
      <w:pPr>
        <w:spacing w:after="100"/>
        <w:ind w:left="504" w:hanging="504"/>
        <w:rPr>
          <w:sz w:val="24"/>
          <w:szCs w:val="24"/>
        </w:rPr>
      </w:pPr>
      <w:r w:rsidRPr="0092467E">
        <w:rPr>
          <w:sz w:val="24"/>
          <w:szCs w:val="24"/>
        </w:rPr>
        <w:t>31. Wenzler JS, Falk W, Frankenberger R, Braun A. Impact of adjunctive laser irradiation on the bacterial load of dental root canals: a randomized controlled clinical trial. Antibiotics (Basel). 2021;10(12):1474.</w:t>
      </w:r>
    </w:p>
    <w:p w14:paraId="5CBC360B" w14:textId="77777777" w:rsidR="00D418C6" w:rsidRPr="0092467E" w:rsidRDefault="00000000">
      <w:pPr>
        <w:spacing w:after="100"/>
        <w:ind w:left="504" w:hanging="504"/>
        <w:rPr>
          <w:sz w:val="24"/>
          <w:szCs w:val="24"/>
        </w:rPr>
      </w:pPr>
      <w:r w:rsidRPr="0092467E">
        <w:rPr>
          <w:sz w:val="24"/>
          <w:szCs w:val="24"/>
        </w:rPr>
        <w:t xml:space="preserve">32. The efficacy of 2780 nm </w:t>
      </w:r>
      <w:proofErr w:type="gramStart"/>
      <w:r w:rsidRPr="0092467E">
        <w:rPr>
          <w:sz w:val="24"/>
          <w:szCs w:val="24"/>
        </w:rPr>
        <w:t>Er,Cr</w:t>
      </w:r>
      <w:proofErr w:type="gramEnd"/>
      <w:r w:rsidRPr="0092467E">
        <w:rPr>
          <w:sz w:val="24"/>
          <w:szCs w:val="24"/>
        </w:rPr>
        <w:t>:YSGG and 940 nm diode laser in root canal disinfection: a randomized clinical trial. Clin Oral Investig. 2024. https://doi.org/10.1007/s00784-024-05563-z</w:t>
      </w:r>
    </w:p>
    <w:sectPr w:rsidR="00D418C6" w:rsidRPr="0092467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0083675">
    <w:abstractNumId w:val="8"/>
  </w:num>
  <w:num w:numId="2" w16cid:durableId="749742150">
    <w:abstractNumId w:val="6"/>
  </w:num>
  <w:num w:numId="3" w16cid:durableId="2043243761">
    <w:abstractNumId w:val="5"/>
  </w:num>
  <w:num w:numId="4" w16cid:durableId="26027334">
    <w:abstractNumId w:val="4"/>
  </w:num>
  <w:num w:numId="5" w16cid:durableId="650787707">
    <w:abstractNumId w:val="7"/>
  </w:num>
  <w:num w:numId="6" w16cid:durableId="890846688">
    <w:abstractNumId w:val="3"/>
  </w:num>
  <w:num w:numId="7" w16cid:durableId="1847472800">
    <w:abstractNumId w:val="2"/>
  </w:num>
  <w:num w:numId="8" w16cid:durableId="1581140895">
    <w:abstractNumId w:val="1"/>
  </w:num>
  <w:num w:numId="9" w16cid:durableId="78689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D2D2C"/>
    <w:rsid w:val="0092467E"/>
    <w:rsid w:val="00AA1D8D"/>
    <w:rsid w:val="00B47730"/>
    <w:rsid w:val="00CB0664"/>
    <w:rsid w:val="00D418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FA9849"/>
  <w14:defaultImageDpi w14:val="300"/>
  <w15:docId w15:val="{B970902B-2B8C-4D61-8C23-91A25EE0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2460</Words>
  <Characters>14026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יניב מאייר</cp:lastModifiedBy>
  <cp:revision>2</cp:revision>
  <dcterms:created xsi:type="dcterms:W3CDTF">2026-06-28T13:49:00Z</dcterms:created>
  <dcterms:modified xsi:type="dcterms:W3CDTF">2026-06-28T13:49:00Z</dcterms:modified>
  <cp:category/>
</cp:coreProperties>
</file>