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Times New Roman" w:hAnsi="Times New Roman"/>
          <w:b/>
          <w:sz w:val="28"/>
        </w:rPr>
        <w:t>Online Resource 1 — Model card, AI-use disclosure, and reproducibility plan</w:t>
      </w:r>
    </w:p>
    <w:p>
      <w:r>
        <w:rPr>
          <w:rFonts w:ascii="Times New Roman" w:hAnsi="Times New Roman"/>
          <w:b/>
          <w:sz w:val="22"/>
        </w:rPr>
        <w:t>Article:</w:t>
      </w:r>
      <w:r>
        <w:rPr>
          <w:rFonts w:ascii="Times New Roman" w:hAnsi="Times New Roman"/>
          <w:sz w:val="22"/>
        </w:rPr>
        <w:t xml:space="preserve"> Can a constrained AI clinical decision-support pipeline generate meal plans rated as highly as dietitian-designed plans? A blinded professional evaluation</w:t>
      </w:r>
    </w:p>
    <w:p>
      <w:r>
        <w:rPr>
          <w:rFonts w:ascii="Times New Roman" w:hAnsi="Times New Roman"/>
          <w:b/>
          <w:sz w:val="22"/>
        </w:rPr>
        <w:t>Journal:</w:t>
      </w:r>
      <w:r>
        <w:rPr>
          <w:rFonts w:ascii="Times New Roman" w:hAnsi="Times New Roman"/>
          <w:sz w:val="22"/>
        </w:rPr>
        <w:t xml:space="preserve"> Journal of Medical Systems</w:t>
      </w:r>
    </w:p>
    <w:p>
      <w:r>
        <w:rPr>
          <w:rFonts w:ascii="Times New Roman" w:hAnsi="Times New Roman"/>
          <w:b/>
          <w:sz w:val="22"/>
        </w:rPr>
        <w:t>Corresponding author:</w:t>
      </w:r>
      <w:r>
        <w:rPr>
          <w:rFonts w:ascii="Times New Roman" w:hAnsi="Times New Roman"/>
          <w:sz w:val="22"/>
        </w:rPr>
        <w:t xml:space="preserve"> Ellis Wollis Malta Abhulime (elliswollismalta@gmail.com), University of Campinas (UNICAMP)</w:t>
      </w:r>
    </w:p>
    <w:p>
      <w:r>
        <w:rPr>
          <w:rFonts w:ascii="Times New Roman" w:hAnsi="Times New Roman"/>
          <w:sz w:val="22"/>
        </w:rPr>
        <w:t>Prepared to meet the Journal of Medical Systems requirements for AI/ML/GenAI manuscripts (data provenance and governance; inclusion/exclusion; comparators; reproducibility plan; and LLM tool, version, date, access method, prompts, and QA) and the journal's model-card and dataset-datasheet recommendation.</w:t>
      </w:r>
    </w:p>
    <w:p>
      <w:pPr>
        <w:pStyle w:val="Heading1"/>
      </w:pPr>
      <w:r>
        <w:t>1. Intended use and scope</w:t>
      </w:r>
    </w:p>
    <w:p>
      <w:pPr>
        <w:pStyle w:val="ListBullet"/>
      </w:pPr>
      <w:r>
        <w:rPr>
          <w:rFonts w:ascii="Times New Roman" w:hAnsi="Times New Roman"/>
          <w:b/>
          <w:sz w:val="22"/>
        </w:rPr>
        <w:t>Intended use.</w:t>
      </w:r>
      <w:r>
        <w:rPr>
          <w:rFonts w:ascii="Times New Roman" w:hAnsi="Times New Roman"/>
          <w:sz w:val="22"/>
        </w:rPr>
        <w:t xml:space="preserve"> Generate a complete day-level meal plan (foods, portions, household measures, and energy/macronutrient totals) from a structured persona specification (sex, age, weight, height, activity level, energy target, objective, dietary pattern, restrictions, and regional context), as a supervised first draft for a registered dietitian to review and adapt.</w:t>
      </w:r>
    </w:p>
    <w:p>
      <w:pPr>
        <w:pStyle w:val="ListBullet"/>
      </w:pPr>
      <w:r>
        <w:rPr>
          <w:rFonts w:ascii="Times New Roman" w:hAnsi="Times New Roman"/>
          <w:b/>
          <w:sz w:val="22"/>
        </w:rPr>
        <w:t>Users.</w:t>
      </w:r>
      <w:r>
        <w:rPr>
          <w:rFonts w:ascii="Times New Roman" w:hAnsi="Times New Roman"/>
          <w:sz w:val="22"/>
        </w:rPr>
        <w:t xml:space="preserve"> Registered dietitians, with the professional retained as the accountable decision-maker (human-in-the-loop). The pipeline is not a direct-to-patient autonomous prescriber.</w:t>
      </w:r>
    </w:p>
    <w:p>
      <w:pPr>
        <w:pStyle w:val="ListBullet"/>
      </w:pPr>
      <w:r>
        <w:rPr>
          <w:rFonts w:ascii="Times New Roman" w:hAnsi="Times New Roman"/>
          <w:b/>
          <w:sz w:val="22"/>
        </w:rPr>
        <w:t>Out-of-scope use.</w:t>
      </w:r>
      <w:r>
        <w:rPr>
          <w:rFonts w:ascii="Times New Roman" w:hAnsi="Times New Roman"/>
          <w:sz w:val="22"/>
        </w:rPr>
        <w:t xml:space="preserve"> Autonomous prescription without professional review; patients with clinical comorbidities, polypharmacy, or complex multi-constraint profiles (all evaluated personas were generally healthy adults); and populations or cuisines outside the Brazilian food context used here.</w:t>
      </w:r>
    </w:p>
    <w:p>
      <w:pPr>
        <w:pStyle w:val="Heading1"/>
      </w:pPr>
      <w:r>
        <w:t>2. System architecture (frozen research pipeline)</w:t>
      </w:r>
    </w:p>
    <w:p>
      <w:r>
        <w:rPr>
          <w:rFonts w:ascii="Times New Roman" w:hAnsi="Times New Roman"/>
          <w:sz w:val="22"/>
        </w:rPr>
        <w:t>The evaluated system is a fixed, automated, multi-step workflow, not a free-text chatbot. Stages:</w:t>
      </w:r>
    </w:p>
    <w:p>
      <w:r>
        <w:rPr>
          <w:rFonts w:ascii="Times New Roman" w:hAnsi="Times New Roman"/>
          <w:sz w:val="22"/>
        </w:rPr>
        <w:t xml:space="preserve">1. </w:t>
      </w:r>
      <w:r>
        <w:rPr>
          <w:rFonts w:ascii="Times New Roman" w:hAnsi="Times New Roman"/>
          <w:b/>
          <w:sz w:val="22"/>
        </w:rPr>
        <w:t>Blueprint</w:t>
      </w:r>
      <w:r>
        <w:rPr>
          <w:rFonts w:ascii="Times New Roman" w:hAnsi="Times New Roman"/>
          <w:sz w:val="22"/>
        </w:rPr>
        <w:t xml:space="preserve"> — the model produces the prescription structure for the persona.</w:t>
      </w:r>
    </w:p>
    <w:p>
      <w:r>
        <w:rPr>
          <w:rFonts w:ascii="Times New Roman" w:hAnsi="Times New Roman"/>
          <w:sz w:val="22"/>
        </w:rPr>
        <w:t xml:space="preserve">2. </w:t>
      </w:r>
      <w:r>
        <w:rPr>
          <w:rFonts w:ascii="Times New Roman" w:hAnsi="Times New Roman"/>
          <w:b/>
          <w:sz w:val="22"/>
        </w:rPr>
        <w:t>Qualitative food selection</w:t>
      </w:r>
      <w:r>
        <w:rPr>
          <w:rFonts w:ascii="Times New Roman" w:hAnsi="Times New Roman"/>
          <w:sz w:val="22"/>
        </w:rPr>
        <w:t xml:space="preserve"> — the model selects foods and the overall composition of each meal.</w:t>
      </w:r>
    </w:p>
    <w:p>
      <w:r>
        <w:rPr>
          <w:rFonts w:ascii="Times New Roman" w:hAnsi="Times New Roman"/>
          <w:sz w:val="22"/>
        </w:rPr>
        <w:t xml:space="preserve">3. </w:t>
      </w:r>
      <w:r>
        <w:rPr>
          <w:rFonts w:ascii="Times New Roman" w:hAnsi="Times New Roman"/>
          <w:b/>
          <w:sz w:val="22"/>
        </w:rPr>
        <w:t>Portion table (small/medium/large)</w:t>
      </w:r>
      <w:r>
        <w:rPr>
          <w:rFonts w:ascii="Times New Roman" w:hAnsi="Times New Roman"/>
          <w:sz w:val="22"/>
        </w:rPr>
        <w:t xml:space="preserve"> — a deterministic backend routine builds the portion options from the food-composition database.</w:t>
      </w:r>
    </w:p>
    <w:p>
      <w:r>
        <w:rPr>
          <w:rFonts w:ascii="Times New Roman" w:hAnsi="Times New Roman"/>
          <w:sz w:val="22"/>
        </w:rPr>
        <w:t xml:space="preserve">4. </w:t>
      </w:r>
      <w:r>
        <w:rPr>
          <w:rFonts w:ascii="Times New Roman" w:hAnsi="Times New Roman"/>
          <w:b/>
          <w:sz w:val="22"/>
        </w:rPr>
        <w:t>Quantitative portion selection</w:t>
      </w:r>
      <w:r>
        <w:rPr>
          <w:rFonts w:ascii="Times New Roman" w:hAnsi="Times New Roman"/>
          <w:sz w:val="22"/>
        </w:rPr>
        <w:t xml:space="preserve"> — the model selects a portion category (small, medium, or large) per item; it does not emit gram weights.</w:t>
      </w:r>
    </w:p>
    <w:p>
      <w:r>
        <w:rPr>
          <w:rFonts w:ascii="Times New Roman" w:hAnsi="Times New Roman"/>
          <w:sz w:val="22"/>
        </w:rPr>
        <w:t xml:space="preserve">5. </w:t>
      </w:r>
      <w:r>
        <w:rPr>
          <w:rFonts w:ascii="Times New Roman" w:hAnsi="Times New Roman"/>
          <w:b/>
          <w:sz w:val="22"/>
        </w:rPr>
        <w:t>Weight hydration</w:t>
      </w:r>
      <w:r>
        <w:rPr>
          <w:rFonts w:ascii="Times New Roman" w:hAnsi="Times New Roman"/>
          <w:sz w:val="22"/>
        </w:rPr>
        <w:t xml:space="preserve"> — a deterministic backend routine applies exact gram values from the database.</w:t>
      </w:r>
    </w:p>
    <w:p>
      <w:r>
        <w:rPr>
          <w:rFonts w:ascii="Times New Roman" w:hAnsi="Times New Roman"/>
          <w:sz w:val="22"/>
        </w:rPr>
        <w:t xml:space="preserve">6. </w:t>
      </w:r>
      <w:r>
        <w:rPr>
          <w:rFonts w:ascii="Times New Roman" w:hAnsi="Times New Roman"/>
          <w:b/>
          <w:sz w:val="22"/>
        </w:rPr>
        <w:t>Household measures</w:t>
      </w:r>
      <w:r>
        <w:rPr>
          <w:rFonts w:ascii="Times New Roman" w:hAnsi="Times New Roman"/>
          <w:sz w:val="22"/>
        </w:rPr>
        <w:t xml:space="preserve"> — deterministic conversion to natural/household measures.</w:t>
      </w:r>
    </w:p>
    <w:p>
      <w:r>
        <w:rPr>
          <w:rFonts w:ascii="Times New Roman" w:hAnsi="Times New Roman"/>
          <w:sz w:val="22"/>
        </w:rPr>
        <w:t xml:space="preserve">7. </w:t>
      </w:r>
      <w:r>
        <w:rPr>
          <w:rFonts w:ascii="Times New Roman" w:hAnsi="Times New Roman"/>
          <w:b/>
          <w:sz w:val="22"/>
        </w:rPr>
        <w:t>AutoCheck</w:t>
      </w:r>
      <w:r>
        <w:rPr>
          <w:rFonts w:ascii="Times New Roman" w:hAnsi="Times New Roman"/>
          <w:sz w:val="22"/>
        </w:rPr>
        <w:t xml:space="preserve"> — automated validation of coherence, caloric-target adherence, and safety alerts.</w:t>
      </w:r>
    </w:p>
    <w:p>
      <w:r>
        <w:rPr>
          <w:rFonts w:ascii="Times New Roman" w:hAnsi="Times New Roman"/>
          <w:sz w:val="22"/>
        </w:rPr>
        <w:t>Safety-by-design property: every reported quantity (grams, household measures, energy, and macronutrients) is computed by deterministic backend code from a local food-composition dataset anchored to the Brazilian Food Composition Table (TBCA v7.3, 2025). The language model never emits nutrient numbers, so model sampling cannot alter the numeric values that evaluators rated.</w:t>
      </w:r>
    </w:p>
    <w:p>
      <w:pPr>
        <w:pStyle w:val="Heading1"/>
      </w:pPr>
      <w:r>
        <w:t>3. Models used</w:t>
      </w:r>
    </w:p>
    <w:p>
      <w:r>
        <w:rPr>
          <w:rFonts w:ascii="Times New Roman" w:hAnsi="Times New Roman"/>
          <w:sz w:val="22"/>
        </w:rPr>
        <w:t>Models from the Claude (Anthropic) and Gemini (Google) families were used across the pipeline stages, accessed programmatically through the Anthropic API and the Google Vertex AI API.</w:t>
      </w:r>
    </w:p>
    <w:p>
      <w:pPr>
        <w:pStyle w:val="ListBullet"/>
      </w:pPr>
      <w:r>
        <w:rPr>
          <w:rFonts w:ascii="Times New Roman" w:hAnsi="Times New Roman"/>
          <w:b/>
          <w:sz w:val="22"/>
        </w:rPr>
        <w:t>Per-stage configuration.</w:t>
      </w:r>
      <w:r>
        <w:rPr>
          <w:rFonts w:ascii="Times New Roman" w:hAnsi="Times New Roman"/>
          <w:sz w:val="22"/>
        </w:rPr>
        <w:t xml:space="preserve"> The exact per-stage model assignment and version identifiers are part of the NextNutri platform's proprietary configuration and are available to the editors and reviewers on request, under confidentiality.</w:t>
      </w:r>
    </w:p>
    <w:p>
      <w:pPr>
        <w:pStyle w:val="ListBullet"/>
      </w:pPr>
      <w:r>
        <w:rPr>
          <w:rFonts w:ascii="Times New Roman" w:hAnsi="Times New Roman"/>
          <w:b/>
          <w:sz w:val="22"/>
        </w:rPr>
        <w:t>Decoding settings.</w:t>
      </w:r>
      <w:r>
        <w:rPr>
          <w:rFonts w:ascii="Times New Roman" w:hAnsi="Times New Roman"/>
          <w:sz w:val="22"/>
        </w:rPr>
        <w:t xml:space="preserve"> Model calls used each provider's standard decoding settings. Because all reported nutrient quantities were computed by the deterministic backend rather than sampled from the model, decoding settings did not influence the numeric outputs that were evaluated.</w:t>
      </w:r>
    </w:p>
    <w:p>
      <w:pPr>
        <w:pStyle w:val="ListBullet"/>
      </w:pPr>
      <w:r>
        <w:rPr>
          <w:rFonts w:ascii="Times New Roman" w:hAnsi="Times New Roman"/>
          <w:b/>
          <w:sz w:val="22"/>
        </w:rPr>
        <w:t>Dates.</w:t>
      </w:r>
      <w:r>
        <w:rPr>
          <w:rFonts w:ascii="Times New Roman" w:hAnsi="Times New Roman"/>
          <w:sz w:val="22"/>
        </w:rPr>
        <w:t xml:space="preserve"> The pipeline configuration was calibrated before the evaluation corpus was fixed; the five evaluated plans were generated on 3 March 2026.</w:t>
      </w:r>
    </w:p>
    <w:p>
      <w:pPr>
        <w:pStyle w:val="Heading1"/>
      </w:pPr>
      <w:r>
        <w:t>4. Model and configuration selection (calibration)</w:t>
      </w:r>
    </w:p>
    <w:p>
      <w:r>
        <w:rPr>
          <w:rFonts w:ascii="Times New Roman" w:hAnsi="Times New Roman"/>
          <w:sz w:val="22"/>
        </w:rPr>
        <w:t>Before the evaluation corpus was fixed, the pipeline configuration, including the model assigned to each stage, was tuned against the internal AutoCheck validation routine over a series of pilot generations. This step tuned the configuration, not the five evaluated plans. Once the configuration was frozen, each persona's plan was produced by a single generation and inserted into the evaluation platform exactly as generated, with display-format conversion only, no content editing, and no best-of-N selection among candidate plans. The calibration optimized the pipeline for target alignment, which the manuscript discusses as a potential bias in the Limitations; a caloric-error sensitivity analysis showed that target alignment alone did not account for the rating advantage.</w:t>
      </w:r>
    </w:p>
    <w:p>
      <w:pPr>
        <w:pStyle w:val="Heading1"/>
      </w:pPr>
      <w:r>
        <w:t>5. Representative prompts (functional description)</w:t>
      </w:r>
    </w:p>
    <w:p>
      <w:r>
        <w:rPr>
          <w:rFonts w:ascii="Times New Roman" w:hAnsi="Times New Roman"/>
          <w:sz w:val="22"/>
        </w:rPr>
        <w:t>Prompts were engineered per stage and are described here functionally; the deterministic backend, not the prompt, produced all quantities.</w:t>
      </w:r>
    </w:p>
    <w:p>
      <w:pPr>
        <w:pStyle w:val="ListBullet"/>
      </w:pPr>
      <w:r>
        <w:rPr>
          <w:rFonts w:ascii="Times New Roman" w:hAnsi="Times New Roman"/>
          <w:b/>
          <w:sz w:val="22"/>
        </w:rPr>
        <w:t>Blueprint prompt.</w:t>
      </w:r>
      <w:r>
        <w:rPr>
          <w:rFonts w:ascii="Times New Roman" w:hAnsi="Times New Roman"/>
          <w:sz w:val="22"/>
        </w:rPr>
        <w:t xml:space="preserve"> Given the persona fields and the daily energy target, instruct the model to output a structured plan skeleton (meals, number of items per meal, and macronutrient intent) consistent with the objective, dietary pattern, and restrictions.</w:t>
      </w:r>
    </w:p>
    <w:p>
      <w:pPr>
        <w:pStyle w:val="ListBullet"/>
      </w:pPr>
      <w:r>
        <w:rPr>
          <w:rFonts w:ascii="Times New Roman" w:hAnsi="Times New Roman"/>
          <w:b/>
          <w:sz w:val="22"/>
        </w:rPr>
        <w:t>Qualitative prompt.</w:t>
      </w:r>
      <w:r>
        <w:rPr>
          <w:rFonts w:ascii="Times New Roman" w:hAnsi="Times New Roman"/>
          <w:sz w:val="22"/>
        </w:rPr>
        <w:t xml:space="preserve"> Given the blueprint and the persona's restrictions and regional context, instruct the model to select specific foods and the composition of each meal from the food set, without assigning weights.</w:t>
      </w:r>
    </w:p>
    <w:p>
      <w:pPr>
        <w:pStyle w:val="ListBullet"/>
      </w:pPr>
      <w:r>
        <w:rPr>
          <w:rFonts w:ascii="Times New Roman" w:hAnsi="Times New Roman"/>
          <w:b/>
          <w:sz w:val="22"/>
        </w:rPr>
        <w:t>Quantitative prompt.</w:t>
      </w:r>
      <w:r>
        <w:rPr>
          <w:rFonts w:ascii="Times New Roman" w:hAnsi="Times New Roman"/>
          <w:sz w:val="22"/>
        </w:rPr>
        <w:t xml:space="preserve"> Given each selected food and its portion options, instruct the model to choose one portion category (small, medium, or large) per item, without generating gram values.</w:t>
      </w:r>
    </w:p>
    <w:p>
      <w:pPr>
        <w:pStyle w:val="ListBullet"/>
      </w:pPr>
      <w:r>
        <w:rPr>
          <w:rFonts w:ascii="Times New Roman" w:hAnsi="Times New Roman"/>
          <w:b/>
          <w:sz w:val="22"/>
        </w:rPr>
        <w:t>AutoCheck prompt.</w:t>
      </w:r>
      <w:r>
        <w:rPr>
          <w:rFonts w:ascii="Times New Roman" w:hAnsi="Times New Roman"/>
          <w:sz w:val="22"/>
        </w:rPr>
        <w:t xml:space="preserve"> Given the fully computed plan, instruct the model to flag incoherence, restriction violations, duplicated foods, missing grams or household measures, and deviations from the energy/macronutrient tolerances.</w:t>
      </w:r>
    </w:p>
    <w:p>
      <w:pPr>
        <w:pStyle w:val="Heading1"/>
      </w:pPr>
      <w:r>
        <w:t>6. Data provenance and governance</w:t>
      </w:r>
    </w:p>
    <w:p>
      <w:pPr>
        <w:pStyle w:val="ListBullet"/>
      </w:pPr>
      <w:r>
        <w:rPr>
          <w:rFonts w:ascii="Times New Roman" w:hAnsi="Times New Roman"/>
          <w:b/>
          <w:sz w:val="22"/>
        </w:rPr>
        <w:t>Food-composition source.</w:t>
      </w:r>
      <w:r>
        <w:rPr>
          <w:rFonts w:ascii="Times New Roman" w:hAnsi="Times New Roman"/>
          <w:sz w:val="22"/>
        </w:rPr>
        <w:t xml:space="preserve"> TBCA v7.3 (2025), University of São Paulo / Food Research Center (FoRC); a local dataset queried by deterministic lookups.</w:t>
      </w:r>
    </w:p>
    <w:p>
      <w:pPr>
        <w:pStyle w:val="ListBullet"/>
      </w:pPr>
      <w:r>
        <w:rPr>
          <w:rFonts w:ascii="Times New Roman" w:hAnsi="Times New Roman"/>
          <w:b/>
          <w:sz w:val="22"/>
        </w:rPr>
        <w:t>Dietary guidance.</w:t>
      </w:r>
      <w:r>
        <w:rPr>
          <w:rFonts w:ascii="Times New Roman" w:hAnsi="Times New Roman"/>
          <w:sz w:val="22"/>
        </w:rPr>
        <w:t xml:space="preserve"> The Dietary Guidelines for the Brazilian Population (2014) informed qualitative food selection.</w:t>
      </w:r>
    </w:p>
    <w:p>
      <w:pPr>
        <w:pStyle w:val="ListBullet"/>
      </w:pPr>
      <w:r>
        <w:rPr>
          <w:rFonts w:ascii="Times New Roman" w:hAnsi="Times New Roman"/>
          <w:b/>
          <w:sz w:val="22"/>
        </w:rPr>
        <w:t>Personas.</w:t>
      </w:r>
      <w:r>
        <w:rPr>
          <w:rFonts w:ascii="Times New Roman" w:hAnsi="Times New Roman"/>
          <w:sz w:val="22"/>
        </w:rPr>
        <w:t xml:space="preserve"> Five synthetic personas (P1–P5); no real patient data. Daily energy targets: P1 2100, P2 2200, P3 1500, P4 1600, P5 3100 kcal, each derived from estimated basal metabolic rate (revised Harris–Benedict equation) with an activity factor and a goal-based adjustment.</w:t>
      </w:r>
    </w:p>
    <w:p>
      <w:pPr>
        <w:pStyle w:val="ListBullet"/>
      </w:pPr>
      <w:r>
        <w:rPr>
          <w:rFonts w:ascii="Times New Roman" w:hAnsi="Times New Roman"/>
          <w:b/>
          <w:sz w:val="22"/>
        </w:rPr>
        <w:t>Comparator (baseline).</w:t>
      </w:r>
      <w:r>
        <w:rPr>
          <w:rFonts w:ascii="Times New Roman" w:hAnsi="Times New Roman"/>
          <w:sz w:val="22"/>
        </w:rPr>
        <w:t xml:space="preserve"> Five real dietitian-authored plans, exported from professional prescription software and standardized to JSON for blinded display, with original discrepancies preserved rather than corrected.</w:t>
      </w:r>
    </w:p>
    <w:p>
      <w:pPr>
        <w:pStyle w:val="Heading1"/>
      </w:pPr>
      <w:r>
        <w:t>7. Automated validation checks (AutoCheck)</w:t>
      </w:r>
    </w:p>
    <w:p>
      <w:r>
        <w:rPr>
          <w:rFonts w:ascii="Times New Roman" w:hAnsi="Times New Roman"/>
          <w:sz w:val="22"/>
        </w:rPr>
        <w:t>Food-database matching; restriction compliance; absence of duplicated foods; presence of grams and household measures; energy and macronutrient tolerance checks; and caloric-target adherence with alerts.</w:t>
      </w:r>
    </w:p>
    <w:p>
      <w:pPr>
        <w:pStyle w:val="Heading1"/>
      </w:pPr>
      <w:r>
        <w:t>8. Human verification and QA</w:t>
      </w:r>
    </w:p>
    <w:p>
      <w:r>
        <w:rPr>
          <w:rFonts w:ascii="Times New Roman" w:hAnsi="Times New Roman"/>
          <w:sz w:val="22"/>
        </w:rPr>
        <w:t>The five evaluated plans were generated by the frozen pipeline, subjected to the automated AutoCheck validation, and inserted exactly as generated, without manual content editing. During manuscript preparation the authors used AI-assisted drafting and literature-organization tools to structure text, summarize analysis outputs, and prepare table and figure drafts; the authors then reviewed and edited all content and are accountable for it, including every citation. No generative AI was used to create or alter any figure image; the figures are deterministic diagrams and data plots.</w:t>
      </w:r>
    </w:p>
    <w:p>
      <w:pPr>
        <w:pStyle w:val="Heading1"/>
      </w:pPr>
      <w:r>
        <w:t>9. Performance across settings and subgroups (from the study)</w:t>
      </w:r>
    </w:p>
    <w:p>
      <w:pPr>
        <w:pStyle w:val="ListBullet"/>
      </w:pPr>
      <w:r>
        <w:rPr>
          <w:rFonts w:ascii="Times New Roman" w:hAnsi="Times New Roman"/>
          <w:sz w:val="22"/>
        </w:rPr>
        <w:t>Blinded professional ratings: AI plans were rated at least as highly as dietitian-designed plans (within-evaluator dz=0.75; higher in all five persona pairs, plan-level marginal).</w:t>
      </w:r>
    </w:p>
    <w:p>
      <w:pPr>
        <w:pStyle w:val="ListBullet"/>
      </w:pPr>
      <w:r>
        <w:rPr>
          <w:rFonts w:ascii="Times New Roman" w:hAnsi="Times New Roman"/>
          <w:sz w:val="22"/>
        </w:rPr>
        <w:t>AI plans were closer to the recorded persona target in four of five personas; the human corpus preserved discrepancies (for example, 2048 kcal against a 3100 kcal target).</w:t>
      </w:r>
    </w:p>
    <w:p>
      <w:pPr>
        <w:pStyle w:val="ListBullet"/>
      </w:pPr>
      <w:r>
        <w:rPr>
          <w:rFonts w:ascii="Times New Roman" w:hAnsi="Times New Roman"/>
          <w:sz w:val="22"/>
        </w:rPr>
        <w:t>No statistically clear heterogeneity by region (P=0.056) or persona (P=0.864).</w:t>
      </w:r>
    </w:p>
    <w:p>
      <w:pPr>
        <w:pStyle w:val="Heading1"/>
      </w:pPr>
      <w:r>
        <w:t>10. Monitoring, limitations, and responsible-use considerations</w:t>
      </w:r>
    </w:p>
    <w:p>
      <w:pPr>
        <w:pStyle w:val="ListBullet"/>
      </w:pPr>
      <w:r>
        <w:rPr>
          <w:rFonts w:ascii="Times New Roman" w:hAnsi="Times New Roman"/>
          <w:sz w:val="22"/>
        </w:rPr>
        <w:t>The evaluated system is a frozen research pipeline; a later clinical-governance layer that uses retrieval-augmented generation was not active for the evaluated plans and lies outside the scope of this study.</w:t>
      </w:r>
    </w:p>
    <w:p>
      <w:pPr>
        <w:pStyle w:val="ListBullet"/>
      </w:pPr>
      <w:r>
        <w:rPr>
          <w:rFonts w:ascii="Times New Roman" w:hAnsi="Times New Roman"/>
          <w:sz w:val="22"/>
        </w:rPr>
        <w:t>The pipeline was not evaluated for drift, post-deployment performance decay, or comorbid/complex clinical cases.</w:t>
      </w:r>
    </w:p>
    <w:p>
      <w:pPr>
        <w:pStyle w:val="ListBullet"/>
      </w:pPr>
      <w:r>
        <w:rPr>
          <w:rFonts w:ascii="Times New Roman" w:hAnsi="Times New Roman"/>
          <w:sz w:val="22"/>
        </w:rPr>
        <w:t>The system should be deployed only as a supervised drafting aid with an accountable dietitian, and re-evaluated before any autonomous or clinical-population use.</w:t>
      </w:r>
    </w:p>
    <w:p>
      <w:pPr>
        <w:pStyle w:val="Heading1"/>
      </w:pPr>
      <w:r>
        <w:t>11. Reproducibility plan</w:t>
      </w:r>
    </w:p>
    <w:p>
      <w:pPr>
        <w:pStyle w:val="ListBullet"/>
      </w:pPr>
      <w:r>
        <w:rPr>
          <w:rFonts w:ascii="Times New Roman" w:hAnsi="Times New Roman"/>
          <w:sz w:val="22"/>
        </w:rPr>
        <w:t>De-identified, item-level evaluation data and the analysis scripts that reproduce the within-evaluator, plan-level, evaluation-level, mixed-effects, and sensitivity results are provided as Supplementary Information and will be deposited in Mendeley Data with a citable DOI upon acceptance.</w:t>
      </w:r>
    </w:p>
    <w:p>
      <w:pPr>
        <w:pStyle w:val="ListBullet"/>
      </w:pPr>
      <w:r>
        <w:rPr>
          <w:rFonts w:ascii="Times New Roman" w:hAnsi="Times New Roman"/>
          <w:sz w:val="22"/>
        </w:rPr>
        <w:t>The pipeline stage routines (portion-table construction, weight hydration, and AutoCheck validation) are proprietary components of the NextNutri platform and are available from the corresponding author on reasonable request, subject to the platform's confidentiality constraints.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6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Times New Roman" w:hAnsi="Times New Roman"/>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