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Times New Roman" w:hAnsi="Times New Roman"/>
          <w:b/>
          <w:sz w:val="28"/>
        </w:rPr>
        <w:t>Online Resource 3 — CHERRIES checklist (Checklist for Reporting Results of Internet E-Surveys)</w:t>
      </w:r>
    </w:p>
    <w:p>
      <w:r>
        <w:rPr>
          <w:rFonts w:ascii="Times New Roman" w:hAnsi="Times New Roman"/>
          <w:sz w:val="22"/>
        </w:rPr>
        <w:t>This document provides the full item-by-item CHERRIES checklist (Eysenbach, J Med Internet Res 2004;6(3):e34) for the present study. "Methods", "Results", and "Statements and Declarations" refer to the main manuscript; "Online Resource 1/2" refer to the model card and the evaluation instrument. Where an item cannot be reported because of the deliberately anonymous design, this is stated explicitly rather than estimated.</w:t>
      </w:r>
    </w:p>
    <w:p>
      <w:pPr>
        <w:pStyle w:val="Heading1"/>
      </w:pPr>
      <w:r>
        <w:t>1. Recruitment funnel and reported rates</w:t>
      </w:r>
    </w:p>
    <w:p>
      <w:r>
        <w:rPr>
          <w:rFonts w:ascii="Times New Roman" w:hAnsi="Times New Roman"/>
          <w:sz w:val="22"/>
        </w:rPr>
        <w:t>The study used a closed (non-open) survey: the link was shared with a defined professional audience (Brazilian dietitians) and access was gated by an eligibility screen placed immediately after electronic informed consent. Because the design was anonymous and did not log IP addresses or deploy visitor-level web analytics, a strict CHERRIES view rate (unique first-page visitors) is not computable; we report the funnel we can document and mark the remainder as not collected by design.</w:t>
      </w:r>
    </w:p>
    <w:tbl>
      <w:tblPr>
        <w:tblStyle w:val="TableGrid"/>
        <w:tblW w:type="auto" w:w="0"/>
        <w:tblLook w:firstColumn="1" w:firstRow="1" w:lastColumn="0" w:lastRow="0" w:noHBand="0" w:noVBand="1" w:val="04A0"/>
      </w:tblPr>
      <w:tblGrid>
        <w:gridCol w:w="3120"/>
        <w:gridCol w:w="3120"/>
        <w:gridCol w:w="3120"/>
      </w:tblGrid>
      <w:tr>
        <w:tc>
          <w:tcPr>
            <w:tcW w:type="dxa" w:w="3120"/>
          </w:tcPr>
          <w:p>
            <w:r>
              <w:rPr>
                <w:rFonts w:ascii="Times New Roman" w:hAnsi="Times New Roman"/>
                <w:b/>
                <w:sz w:val="18"/>
              </w:rPr>
              <w:t>Funnel stage</w:t>
            </w:r>
          </w:p>
        </w:tc>
        <w:tc>
          <w:tcPr>
            <w:tcW w:type="dxa" w:w="3120"/>
          </w:tcPr>
          <w:p>
            <w:r>
              <w:rPr>
                <w:rFonts w:ascii="Times New Roman" w:hAnsi="Times New Roman"/>
                <w:b/>
                <w:sz w:val="18"/>
              </w:rPr>
              <w:t>Count</w:t>
            </w:r>
          </w:p>
        </w:tc>
        <w:tc>
          <w:tcPr>
            <w:tcW w:type="dxa" w:w="3120"/>
          </w:tcPr>
          <w:p>
            <w:r>
              <w:rPr>
                <w:rFonts w:ascii="Times New Roman" w:hAnsi="Times New Roman"/>
                <w:b/>
                <w:sz w:val="18"/>
              </w:rPr>
              <w:t>Notes</w:t>
            </w:r>
          </w:p>
        </w:tc>
      </w:tr>
      <w:tr>
        <w:tc>
          <w:tcPr>
            <w:tcW w:type="dxa" w:w="3120"/>
          </w:tcPr>
          <w:p>
            <w:r>
              <w:rPr>
                <w:rFonts w:ascii="Times New Roman" w:hAnsi="Times New Roman"/>
                <w:sz w:val="18"/>
              </w:rPr>
              <w:t>Unique first-page visitors (view denominator)</w:t>
            </w:r>
          </w:p>
        </w:tc>
        <w:tc>
          <w:tcPr>
            <w:tcW w:type="dxa" w:w="3120"/>
          </w:tcPr>
          <w:p>
            <w:r>
              <w:rPr>
                <w:rFonts w:ascii="Times New Roman" w:hAnsi="Times New Roman"/>
                <w:sz w:val="18"/>
              </w:rPr>
              <w:t>Not collected by design</w:t>
            </w:r>
          </w:p>
        </w:tc>
        <w:tc>
          <w:tcPr>
            <w:tcW w:type="dxa" w:w="3120"/>
          </w:tcPr>
          <w:p>
            <w:r>
              <w:rPr>
                <w:rFonts w:ascii="Times New Roman" w:hAnsi="Times New Roman"/>
                <w:sz w:val="18"/>
              </w:rPr>
              <w:t>No IP/visitor analytics; anonymous design</w:t>
            </w:r>
          </w:p>
        </w:tc>
      </w:tr>
      <w:tr>
        <w:tc>
          <w:tcPr>
            <w:tcW w:type="dxa" w:w="3120"/>
          </w:tcPr>
          <w:p>
            <w:r>
              <w:rPr>
                <w:rFonts w:ascii="Times New Roman" w:hAnsi="Times New Roman"/>
                <w:sz w:val="18"/>
              </w:rPr>
              <w:t>Sessions initiated (reached consent/eligibility stage)</w:t>
            </w:r>
          </w:p>
        </w:tc>
        <w:tc>
          <w:tcPr>
            <w:tcW w:type="dxa" w:w="3120"/>
          </w:tcPr>
          <w:p>
            <w:r>
              <w:rPr>
                <w:rFonts w:ascii="Times New Roman" w:hAnsi="Times New Roman"/>
                <w:sz w:val="18"/>
              </w:rPr>
              <w:t>155</w:t>
            </w:r>
          </w:p>
        </w:tc>
        <w:tc>
          <w:tcPr>
            <w:tcW w:type="dxa" w:w="3120"/>
          </w:tcPr>
          <w:p>
            <w:r>
              <w:rPr>
                <w:rFonts w:ascii="Times New Roman" w:hAnsi="Times New Roman"/>
                <w:sz w:val="18"/>
              </w:rPr>
              <w:t>Server-issued anonymous session identifiers with stored pre-evaluation data</w:t>
            </w:r>
          </w:p>
        </w:tc>
      </w:tr>
      <w:tr>
        <w:tc>
          <w:tcPr>
            <w:tcW w:type="dxa" w:w="3120"/>
          </w:tcPr>
          <w:p>
            <w:r>
              <w:rPr>
                <w:rFonts w:ascii="Times New Roman" w:hAnsi="Times New Roman"/>
                <w:sz w:val="18"/>
              </w:rPr>
              <w:t>Plan evaluations fetched (all states)</w:t>
            </w:r>
          </w:p>
        </w:tc>
        <w:tc>
          <w:tcPr>
            <w:tcW w:type="dxa" w:w="3120"/>
          </w:tcPr>
          <w:p>
            <w:r>
              <w:rPr>
                <w:rFonts w:ascii="Times New Roman" w:hAnsi="Times New Roman"/>
                <w:sz w:val="18"/>
              </w:rPr>
              <w:t>251</w:t>
            </w:r>
          </w:p>
        </w:tc>
        <w:tc>
          <w:tcPr>
            <w:tcW w:type="dxa" w:w="3120"/>
          </w:tcPr>
          <w:p>
            <w:r>
              <w:rPr>
                <w:rFonts w:ascii="Times New Roman" w:hAnsi="Times New Roman"/>
                <w:sz w:val="18"/>
              </w:rPr>
              <w:t>Includes drafts and non-submitted records</w:t>
            </w:r>
          </w:p>
        </w:tc>
      </w:tr>
      <w:tr>
        <w:tc>
          <w:tcPr>
            <w:tcW w:type="dxa" w:w="3120"/>
          </w:tcPr>
          <w:p>
            <w:r>
              <w:rPr>
                <w:rFonts w:ascii="Times New Roman" w:hAnsi="Times New Roman"/>
                <w:sz w:val="18"/>
              </w:rPr>
              <w:t>Submitted (non-draft) plan evaluations</w:t>
            </w:r>
          </w:p>
        </w:tc>
        <w:tc>
          <w:tcPr>
            <w:tcW w:type="dxa" w:w="3120"/>
          </w:tcPr>
          <w:p>
            <w:r>
              <w:rPr>
                <w:rFonts w:ascii="Times New Roman" w:hAnsi="Times New Roman"/>
                <w:sz w:val="18"/>
              </w:rPr>
              <w:t>224</w:t>
            </w:r>
          </w:p>
        </w:tc>
        <w:tc>
          <w:tcPr>
            <w:tcW w:type="dxa" w:w="3120"/>
          </w:tcPr>
          <w:p>
            <w:r>
              <w:rPr>
                <w:rFonts w:ascii="Times New Roman" w:hAnsi="Times New Roman"/>
                <w:sz w:val="18"/>
              </w:rPr>
              <w:t>Submission = the participant finalized the evaluation</w:t>
            </w:r>
          </w:p>
        </w:tc>
      </w:tr>
      <w:tr>
        <w:tc>
          <w:tcPr>
            <w:tcW w:type="dxa" w:w="3120"/>
          </w:tcPr>
          <w:p>
            <w:r>
              <w:rPr>
                <w:rFonts w:ascii="Times New Roman" w:hAnsi="Times New Roman"/>
                <w:sz w:val="18"/>
              </w:rPr>
              <w:t>Valid plan evaluations after quality/eligibility filters</w:t>
            </w:r>
          </w:p>
        </w:tc>
        <w:tc>
          <w:tcPr>
            <w:tcW w:type="dxa" w:w="3120"/>
          </w:tcPr>
          <w:p>
            <w:r>
              <w:rPr>
                <w:rFonts w:ascii="Times New Roman" w:hAnsi="Times New Roman"/>
                <w:sz w:val="18"/>
              </w:rPr>
              <w:t>130</w:t>
            </w:r>
          </w:p>
        </w:tc>
        <w:tc>
          <w:tcPr>
            <w:tcW w:type="dxa" w:w="3120"/>
          </w:tcPr>
          <w:p>
            <w:r>
              <w:rPr>
                <w:rFonts w:ascii="Times New Roman" w:hAnsi="Times New Roman"/>
                <w:sz w:val="18"/>
              </w:rPr>
              <w:t>≥120 s duration, active CRN, prescribing practice, one contaminated legacy plan excluded</w:t>
            </w:r>
          </w:p>
        </w:tc>
      </w:tr>
      <w:tr>
        <w:tc>
          <w:tcPr>
            <w:tcW w:type="dxa" w:w="3120"/>
          </w:tcPr>
          <w:p>
            <w:r>
              <w:rPr>
                <w:rFonts w:ascii="Times New Roman" w:hAnsi="Times New Roman"/>
                <w:sz w:val="18"/>
              </w:rPr>
              <w:t>Valid evaluators contributing ≥1 valid evaluation</w:t>
            </w:r>
          </w:p>
        </w:tc>
        <w:tc>
          <w:tcPr>
            <w:tcW w:type="dxa" w:w="3120"/>
          </w:tcPr>
          <w:p>
            <w:r>
              <w:rPr>
                <w:rFonts w:ascii="Times New Roman" w:hAnsi="Times New Roman"/>
                <w:sz w:val="18"/>
              </w:rPr>
              <w:t>54</w:t>
            </w:r>
          </w:p>
        </w:tc>
        <w:tc>
          <w:tcPr>
            <w:tcW w:type="dxa" w:w="3120"/>
          </w:tcPr>
          <w:p>
            <w:r>
              <w:rPr>
                <w:rFonts w:ascii="Times New Roman" w:hAnsi="Times New Roman"/>
                <w:sz w:val="18"/>
              </w:rPr>
              <w:t>Analytic evaluator sample</w:t>
            </w:r>
          </w:p>
        </w:tc>
      </w:tr>
      <w:tr>
        <w:tc>
          <w:tcPr>
            <w:tcW w:type="dxa" w:w="3120"/>
          </w:tcPr>
          <w:p>
            <w:r>
              <w:rPr>
                <w:rFonts w:ascii="Times New Roman" w:hAnsi="Times New Roman"/>
                <w:sz w:val="18"/>
              </w:rPr>
              <w:t>Valid evaluations: AI-generated / dietitian-designed</w:t>
            </w:r>
          </w:p>
        </w:tc>
        <w:tc>
          <w:tcPr>
            <w:tcW w:type="dxa" w:w="3120"/>
          </w:tcPr>
          <w:p>
            <w:r>
              <w:rPr>
                <w:rFonts w:ascii="Times New Roman" w:hAnsi="Times New Roman"/>
                <w:sz w:val="18"/>
              </w:rPr>
              <w:t>64 / 66</w:t>
            </w:r>
          </w:p>
        </w:tc>
        <w:tc>
          <w:tcPr>
            <w:tcW w:type="dxa" w:w="3120"/>
          </w:tcPr>
          <w:p>
            <w:r>
              <w:rPr>
                <w:rFonts w:ascii="Times New Roman" w:hAnsi="Times New Roman"/>
                <w:sz w:val="18"/>
              </w:rPr>
              <w:t>Item/domain analyses use all available items (n=130); complete-case total score n=124</w:t>
            </w:r>
          </w:p>
        </w:tc>
      </w:tr>
    </w:tbl>
    <w:p>
      <w:r>
        <w:rPr>
          <w:rFonts w:ascii="Times New Roman" w:hAnsi="Times New Roman"/>
          <w:sz w:val="22"/>
        </w:rPr>
        <w:t>Rates reported (denominator stated explicitly, per CHERRIES guidance):</w:t>
      </w:r>
    </w:p>
    <w:p>
      <w:pPr>
        <w:pStyle w:val="ListBullet"/>
      </w:pPr>
      <w:r>
        <w:rPr>
          <w:rFonts w:ascii="Times New Roman" w:hAnsi="Times New Roman"/>
          <w:sz w:val="22"/>
        </w:rPr>
        <w:t>Completion rate (submission), evaluation level: 224/251 = 89.2% of fetched plan evaluations were submitted (non-draft).</w:t>
      </w:r>
    </w:p>
    <w:p>
      <w:pPr>
        <w:pStyle w:val="ListBullet"/>
      </w:pPr>
      <w:r>
        <w:rPr>
          <w:rFonts w:ascii="Times New Roman" w:hAnsi="Times New Roman"/>
          <w:sz w:val="22"/>
        </w:rPr>
        <w:t>Analyzable rate, evaluation level: 130/224 = 58.0% of submitted evaluations passed all validity filters (the main attrition step is the ≥120 s data-quality rule and eligibility confirmation).</w:t>
      </w:r>
    </w:p>
    <w:p>
      <w:pPr>
        <w:pStyle w:val="ListBullet"/>
      </w:pPr>
      <w:r>
        <w:rPr>
          <w:rFonts w:ascii="Times New Roman" w:hAnsi="Times New Roman"/>
          <w:sz w:val="22"/>
        </w:rPr>
        <w:t>Unit-of-analysis note: the unit was the individual submitted plan evaluation, not the completed three-plan protocol; evaluators were not required to rate all three assigned plans, so a protocol-level "completion rate" is intentionally not the primary denominator (Methods, Participants).</w:t>
      </w:r>
    </w:p>
    <w:p>
      <w:pPr>
        <w:pStyle w:val="ListBullet"/>
      </w:pPr>
      <w:r>
        <w:rPr>
          <w:rFonts w:ascii="Times New Roman" w:hAnsi="Times New Roman"/>
          <w:sz w:val="22"/>
        </w:rPr>
        <w:t>Participation rate (consent to first evaluation): because consent and the eligibility screen preceded any stored data and ineligible respondents' data were not retained, the denominator of all who viewed the consent page is not available; we report the documented funnel above rather than a single participation ratio.</w:t>
      </w:r>
    </w:p>
    <w:p>
      <w:pPr>
        <w:pStyle w:val="Heading1"/>
      </w:pPr>
      <w:r>
        <w:t>2. CHERRIES checklist — item-by-item</w:t>
      </w:r>
    </w:p>
    <w:p>
      <w:pPr>
        <w:pStyle w:val="Heading3"/>
      </w:pPr>
      <w:r>
        <w:t>Design</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Describe survey design</w:t>
            </w:r>
          </w:p>
        </w:tc>
        <w:tc>
          <w:tcPr>
            <w:tcW w:type="dxa" w:w="4680"/>
          </w:tcPr>
          <w:p>
            <w:r>
              <w:rPr>
                <w:rFonts w:ascii="Times New Roman" w:hAnsi="Times New Roman"/>
                <w:sz w:val="18"/>
              </w:rPr>
              <w:t>Cross-sectional, blinded, web-based comparative evaluation; closed (audience-restricted, eligibility-gated) survey. Methods (Study design; Assignment, blinding, and instrument)</w:t>
            </w:r>
          </w:p>
        </w:tc>
      </w:tr>
      <w:tr>
        <w:tc>
          <w:tcPr>
            <w:tcW w:type="dxa" w:w="4680"/>
          </w:tcPr>
          <w:p>
            <w:r>
              <w:rPr>
                <w:rFonts w:ascii="Times New Roman" w:hAnsi="Times New Roman"/>
                <w:sz w:val="18"/>
              </w:rPr>
              <w:t>Open vs closed survey</w:t>
            </w:r>
          </w:p>
        </w:tc>
        <w:tc>
          <w:tcPr>
            <w:tcW w:type="dxa" w:w="4680"/>
          </w:tcPr>
          <w:p>
            <w:r>
              <w:rPr>
                <w:rFonts w:ascii="Times New Roman" w:hAnsi="Times New Roman"/>
                <w:sz w:val="18"/>
              </w:rPr>
              <w:t>Closed: link shared with a defined professional audience; eligibility screen after consent. Methods (Participants)</w:t>
            </w:r>
          </w:p>
        </w:tc>
      </w:tr>
    </w:tbl>
    <w:p>
      <w:pPr>
        <w:pStyle w:val="Heading3"/>
      </w:pPr>
      <w:r>
        <w:t>IRB approval and informed consent process</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IRB approval</w:t>
            </w:r>
          </w:p>
        </w:tc>
        <w:tc>
          <w:tcPr>
            <w:tcW w:type="dxa" w:w="4680"/>
          </w:tcPr>
          <w:p>
            <w:r>
              <w:rPr>
                <w:rFonts w:ascii="Times New Roman" w:hAnsi="Times New Roman"/>
                <w:sz w:val="18"/>
              </w:rPr>
              <w:t>Approved by the UNICAMP Research Ethics Committee, CAAE 87765325.7.0000.8142. Statements and Declarations (Ethics approval)</w:t>
            </w:r>
          </w:p>
        </w:tc>
      </w:tr>
      <w:tr>
        <w:tc>
          <w:tcPr>
            <w:tcW w:type="dxa" w:w="4680"/>
          </w:tcPr>
          <w:p>
            <w:r>
              <w:rPr>
                <w:rFonts w:ascii="Times New Roman" w:hAnsi="Times New Roman"/>
                <w:sz w:val="18"/>
              </w:rPr>
              <w:t>Informed consent</w:t>
            </w:r>
          </w:p>
        </w:tc>
        <w:tc>
          <w:tcPr>
            <w:tcW w:type="dxa" w:w="4680"/>
          </w:tcPr>
          <w:p>
            <w:r>
              <w:rPr>
                <w:rFonts w:ascii="Times New Roman" w:hAnsi="Times New Roman"/>
                <w:sz w:val="18"/>
              </w:rPr>
              <w:t>Electronic informed consent obtained before participation and before any data storage. Methods (Participants); Statements and Declarations</w:t>
            </w:r>
          </w:p>
        </w:tc>
      </w:tr>
      <w:tr>
        <w:tc>
          <w:tcPr>
            <w:tcW w:type="dxa" w:w="4680"/>
          </w:tcPr>
          <w:p>
            <w:r>
              <w:rPr>
                <w:rFonts w:ascii="Times New Roman" w:hAnsi="Times New Roman"/>
                <w:sz w:val="18"/>
              </w:rPr>
              <w:t>Data protection</w:t>
            </w:r>
          </w:p>
        </w:tc>
        <w:tc>
          <w:tcPr>
            <w:tcW w:type="dxa" w:w="4680"/>
          </w:tcPr>
          <w:p>
            <w:r>
              <w:rPr>
                <w:rFonts w:ascii="Times New Roman" w:hAnsi="Times New Roman"/>
                <w:sz w:val="18"/>
              </w:rPr>
              <w:t>Anonymous responses; no directly identifying data used; row-level data de-identified; database access restricted. Online Resource 1; Statements and Declarations (Data availability)</w:t>
            </w:r>
          </w:p>
        </w:tc>
      </w:tr>
    </w:tbl>
    <w:p>
      <w:pPr>
        <w:pStyle w:val="Heading3"/>
      </w:pPr>
      <w:r>
        <w:t>Development and pre-testing</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Development</w:t>
            </w:r>
          </w:p>
        </w:tc>
        <w:tc>
          <w:tcPr>
            <w:tcW w:type="dxa" w:w="4680"/>
          </w:tcPr>
          <w:p>
            <w:r>
              <w:rPr>
                <w:rFonts w:ascii="Times New Roman" w:hAnsi="Times New Roman"/>
                <w:sz w:val="18"/>
              </w:rPr>
              <w:t>Purpose-built NextNutri research module (Next.js/React, managed PostgreSQL backend); server-side plan assignment; anonymous persistence. Methods (Study design); Online Resource 1</w:t>
            </w:r>
          </w:p>
        </w:tc>
      </w:tr>
      <w:tr>
        <w:tc>
          <w:tcPr>
            <w:tcW w:type="dxa" w:w="4680"/>
          </w:tcPr>
          <w:p>
            <w:r>
              <w:rPr>
                <w:rFonts w:ascii="Times New Roman" w:hAnsi="Times New Roman"/>
                <w:sz w:val="18"/>
              </w:rPr>
              <w:t>Pre-testing</w:t>
            </w:r>
          </w:p>
        </w:tc>
        <w:tc>
          <w:tcPr>
            <w:tcW w:type="dxa" w:w="4680"/>
          </w:tcPr>
          <w:p>
            <w:r>
              <w:rPr>
                <w:rFonts w:ascii="Times New Roman" w:hAnsi="Times New Roman"/>
                <w:sz w:val="18"/>
              </w:rPr>
              <w:t>Instrument and platform piloted during development; nine-item instrument wording finalized before launch. Online Resource 2</w:t>
            </w:r>
          </w:p>
        </w:tc>
      </w:tr>
    </w:tbl>
    <w:p>
      <w:pPr>
        <w:pStyle w:val="Heading3"/>
      </w:pPr>
      <w:r>
        <w:t>Recruitment process and description of the sample</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Open survey / advertising</w:t>
            </w:r>
          </w:p>
        </w:tc>
        <w:tc>
          <w:tcPr>
            <w:tcW w:type="dxa" w:w="4680"/>
          </w:tcPr>
          <w:p>
            <w:r>
              <w:rPr>
                <w:rFonts w:ascii="Times New Roman" w:hAnsi="Times New Roman"/>
                <w:sz w:val="18"/>
              </w:rPr>
              <w:t>Not an open survey; recruitment by convenience and snowball sampling via social media, scientific congresses, and peer sharing of the study link. Methods (Participants)</w:t>
            </w:r>
          </w:p>
        </w:tc>
      </w:tr>
      <w:tr>
        <w:tc>
          <w:tcPr>
            <w:tcW w:type="dxa" w:w="4680"/>
          </w:tcPr>
          <w:p>
            <w:r>
              <w:rPr>
                <w:rFonts w:ascii="Times New Roman" w:hAnsi="Times New Roman"/>
                <w:sz w:val="18"/>
              </w:rPr>
              <w:t>Sample / contact mode</w:t>
            </w:r>
          </w:p>
        </w:tc>
        <w:tc>
          <w:tcPr>
            <w:tcW w:type="dxa" w:w="4680"/>
          </w:tcPr>
          <w:p>
            <w:r>
              <w:rPr>
                <w:rFonts w:ascii="Times New Roman" w:hAnsi="Times New Roman"/>
                <w:sz w:val="18"/>
              </w:rPr>
              <w:t>Brazilian dietitians with active CRN registration, current meal-plan prescribing practice, and ≥1 year since graduation. Methods (Participants)</w:t>
            </w:r>
          </w:p>
        </w:tc>
      </w:tr>
      <w:tr>
        <w:tc>
          <w:tcPr>
            <w:tcW w:type="dxa" w:w="4680"/>
          </w:tcPr>
          <w:p>
            <w:r>
              <w:rPr>
                <w:rFonts w:ascii="Times New Roman" w:hAnsi="Times New Roman"/>
                <w:sz w:val="18"/>
              </w:rPr>
              <w:t>Advertisement vs actual questionnaire timing</w:t>
            </w:r>
          </w:p>
        </w:tc>
        <w:tc>
          <w:tcPr>
            <w:tcW w:type="dxa" w:w="4680"/>
          </w:tcPr>
          <w:p>
            <w:r>
              <w:rPr>
                <w:rFonts w:ascii="Times New Roman" w:hAnsi="Times New Roman"/>
                <w:sz w:val="18"/>
              </w:rPr>
              <w:t>Single closed instrument; eligibility screen first, then consented evaluation. Methods (Participants; Assignment, blinding, and instrument)</w:t>
            </w:r>
          </w:p>
        </w:tc>
      </w:tr>
    </w:tbl>
    <w:p>
      <w:pPr>
        <w:pStyle w:val="Heading3"/>
      </w:pPr>
      <w:r>
        <w:t>Survey administration</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Web / email</w:t>
            </w:r>
          </w:p>
        </w:tc>
        <w:tc>
          <w:tcPr>
            <w:tcW w:type="dxa" w:w="4680"/>
          </w:tcPr>
          <w:p>
            <w:r>
              <w:rPr>
                <w:rFonts w:ascii="Times New Roman" w:hAnsi="Times New Roman"/>
                <w:sz w:val="18"/>
              </w:rPr>
              <w:t>Web-based, link-distributed. Methods (Study design)</w:t>
            </w:r>
          </w:p>
        </w:tc>
      </w:tr>
      <w:tr>
        <w:tc>
          <w:tcPr>
            <w:tcW w:type="dxa" w:w="4680"/>
          </w:tcPr>
          <w:p>
            <w:r>
              <w:rPr>
                <w:rFonts w:ascii="Times New Roman" w:hAnsi="Times New Roman"/>
                <w:sz w:val="18"/>
              </w:rPr>
              <w:t>Context</w:t>
            </w:r>
          </w:p>
        </w:tc>
        <w:tc>
          <w:tcPr>
            <w:tcW w:type="dxa" w:w="4680"/>
          </w:tcPr>
          <w:p>
            <w:r>
              <w:rPr>
                <w:rFonts w:ascii="Times New Roman" w:hAnsi="Times New Roman"/>
                <w:sz w:val="18"/>
              </w:rPr>
              <w:t>Hosted on the NextNutri research environment; no incentives reported. Methods (Study design)</w:t>
            </w:r>
          </w:p>
        </w:tc>
      </w:tr>
      <w:tr>
        <w:tc>
          <w:tcPr>
            <w:tcW w:type="dxa" w:w="4680"/>
          </w:tcPr>
          <w:p>
            <w:r>
              <w:rPr>
                <w:rFonts w:ascii="Times New Roman" w:hAnsi="Times New Roman"/>
                <w:sz w:val="18"/>
              </w:rPr>
              <w:t>Mandatory / optional items</w:t>
            </w:r>
          </w:p>
        </w:tc>
        <w:tc>
          <w:tcPr>
            <w:tcW w:type="dxa" w:w="4680"/>
          </w:tcPr>
          <w:p>
            <w:r>
              <w:rPr>
                <w:rFonts w:ascii="Times New Roman" w:hAnsi="Times New Roman"/>
                <w:sz w:val="18"/>
              </w:rPr>
              <w:t>Evaluators were not required to rate all three assigned plans; six AI evaluations had partial item sets (handled by available-item analysis). Results; Table 4 notes</w:t>
            </w:r>
          </w:p>
        </w:tc>
      </w:tr>
      <w:tr>
        <w:tc>
          <w:tcPr>
            <w:tcW w:type="dxa" w:w="4680"/>
          </w:tcPr>
          <w:p>
            <w:r>
              <w:rPr>
                <w:rFonts w:ascii="Times New Roman" w:hAnsi="Times New Roman"/>
                <w:sz w:val="18"/>
              </w:rPr>
              <w:t>Randomization of presentation</w:t>
            </w:r>
          </w:p>
        </w:tc>
        <w:tc>
          <w:tcPr>
            <w:tcW w:type="dxa" w:w="4680"/>
          </w:tcPr>
          <w:p>
            <w:r>
              <w:rPr>
                <w:rFonts w:ascii="Times New Roman" w:hAnsi="Times New Roman"/>
                <w:sz w:val="18"/>
              </w:rPr>
              <w:t>Presentation order randomized; server-side counter-based balanced assignment (≥1 plan per origin; ≤1 plan per persona); comparison persona drawn at random. Methods (Assignment, blinding, and instrument); Online Resource 1</w:t>
            </w:r>
          </w:p>
        </w:tc>
      </w:tr>
      <w:tr>
        <w:tc>
          <w:tcPr>
            <w:tcW w:type="dxa" w:w="4680"/>
          </w:tcPr>
          <w:p>
            <w:r>
              <w:rPr>
                <w:rFonts w:ascii="Times New Roman" w:hAnsi="Times New Roman"/>
                <w:sz w:val="18"/>
              </w:rPr>
              <w:t>Adaptive questioning</w:t>
            </w:r>
          </w:p>
        </w:tc>
        <w:tc>
          <w:tcPr>
            <w:tcW w:type="dxa" w:w="4680"/>
          </w:tcPr>
          <w:p>
            <w:r>
              <w:rPr>
                <w:rFonts w:ascii="Times New Roman" w:hAnsi="Times New Roman"/>
                <w:sz w:val="18"/>
              </w:rPr>
              <w:t>Eligibility screen gated entry; otherwise fixed nine-item instrument. Methods</w:t>
            </w:r>
          </w:p>
        </w:tc>
      </w:tr>
      <w:tr>
        <w:tc>
          <w:tcPr>
            <w:tcW w:type="dxa" w:w="4680"/>
          </w:tcPr>
          <w:p>
            <w:r>
              <w:rPr>
                <w:rFonts w:ascii="Times New Roman" w:hAnsi="Times New Roman"/>
                <w:sz w:val="18"/>
              </w:rPr>
              <w:t>Number of items / pages</w:t>
            </w:r>
          </w:p>
        </w:tc>
        <w:tc>
          <w:tcPr>
            <w:tcW w:type="dxa" w:w="4680"/>
          </w:tcPr>
          <w:p>
            <w:r>
              <w:rPr>
                <w:rFonts w:ascii="Times New Roman" w:hAnsi="Times New Roman"/>
                <w:sz w:val="18"/>
              </w:rPr>
              <w:t>Nine 5-point Likert items across three domains, plus an optional pairwise blinding comparison. Methods; Online Resource 2</w:t>
            </w:r>
          </w:p>
        </w:tc>
      </w:tr>
      <w:tr>
        <w:tc>
          <w:tcPr>
            <w:tcW w:type="dxa" w:w="4680"/>
          </w:tcPr>
          <w:p>
            <w:r>
              <w:rPr>
                <w:rFonts w:ascii="Times New Roman" w:hAnsi="Times New Roman"/>
                <w:sz w:val="18"/>
              </w:rPr>
              <w:t>Time to complete / capture</w:t>
            </w:r>
          </w:p>
        </w:tc>
        <w:tc>
          <w:tcPr>
            <w:tcW w:type="dxa" w:w="4680"/>
          </w:tcPr>
          <w:p>
            <w:r>
              <w:rPr>
                <w:rFonts w:ascii="Times New Roman" w:hAnsi="Times New Roman"/>
                <w:sz w:val="18"/>
              </w:rPr>
              <w:t>Per-evaluation duration captured; evaluations under 120 s excluded as implausibly fast. Methods (Statistical analysis)</w:t>
            </w:r>
          </w:p>
        </w:tc>
      </w:tr>
    </w:tbl>
    <w:p>
      <w:pPr>
        <w:pStyle w:val="Heading3"/>
      </w:pPr>
      <w:r>
        <w:t>Response rates</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Unique site visitor / view rate</w:t>
            </w:r>
          </w:p>
        </w:tc>
        <w:tc>
          <w:tcPr>
            <w:tcW w:type="dxa" w:w="4680"/>
          </w:tcPr>
          <w:p>
            <w:r>
              <w:rPr>
                <w:rFonts w:ascii="Times New Roman" w:hAnsi="Times New Roman"/>
                <w:sz w:val="18"/>
              </w:rPr>
              <w:t>Not collected by design (no IP logging / visitor analytics; anonymous study). Section 1 above</w:t>
            </w:r>
          </w:p>
        </w:tc>
      </w:tr>
      <w:tr>
        <w:tc>
          <w:tcPr>
            <w:tcW w:type="dxa" w:w="4680"/>
          </w:tcPr>
          <w:p>
            <w:r>
              <w:rPr>
                <w:rFonts w:ascii="Times New Roman" w:hAnsi="Times New Roman"/>
                <w:sz w:val="18"/>
              </w:rPr>
              <w:t>Participation rate</w:t>
            </w:r>
          </w:p>
        </w:tc>
        <w:tc>
          <w:tcPr>
            <w:tcW w:type="dxa" w:w="4680"/>
          </w:tcPr>
          <w:p>
            <w:r>
              <w:rPr>
                <w:rFonts w:ascii="Times New Roman" w:hAnsi="Times New Roman"/>
                <w:sz w:val="18"/>
              </w:rPr>
              <w:t>Reported as a documented funnel rather than a single ratio because consent/eligibility preceded any data storage. Section 1 above</w:t>
            </w:r>
          </w:p>
        </w:tc>
      </w:tr>
      <w:tr>
        <w:tc>
          <w:tcPr>
            <w:tcW w:type="dxa" w:w="4680"/>
          </w:tcPr>
          <w:p>
            <w:r>
              <w:rPr>
                <w:rFonts w:ascii="Times New Roman" w:hAnsi="Times New Roman"/>
                <w:sz w:val="18"/>
              </w:rPr>
              <w:t>Completion rate</w:t>
            </w:r>
          </w:p>
        </w:tc>
        <w:tc>
          <w:tcPr>
            <w:tcW w:type="dxa" w:w="4680"/>
          </w:tcPr>
          <w:p>
            <w:r>
              <w:rPr>
                <w:rFonts w:ascii="Times New Roman" w:hAnsi="Times New Roman"/>
                <w:sz w:val="18"/>
              </w:rPr>
              <w:t>224/251 = 89.2% of fetched evaluations submitted; 130/224 = 58.0% passed validity filters. Section 1 above; Results</w:t>
            </w:r>
          </w:p>
        </w:tc>
      </w:tr>
    </w:tbl>
    <w:p>
      <w:pPr>
        <w:pStyle w:val="Heading3"/>
      </w:pPr>
      <w:r>
        <w:t>Preventing multiple entries from the same individual</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Cookies / IP check</w:t>
            </w:r>
          </w:p>
        </w:tc>
        <w:tc>
          <w:tcPr>
            <w:tcW w:type="dxa" w:w="4680"/>
          </w:tcPr>
          <w:p>
            <w:r>
              <w:rPr>
                <w:rFonts w:ascii="Times New Roman" w:hAnsi="Times New Roman"/>
                <w:sz w:val="18"/>
              </w:rPr>
              <w:t>No IP logging, consistent with the anonymous design; a CAPTCHA challenge (Cloudflare Turnstile) was used at the consent and pre-assessment steps in place of IP-based controls. Methods (Assignment, blinding, and instrument)</w:t>
            </w:r>
          </w:p>
        </w:tc>
      </w:tr>
      <w:tr>
        <w:tc>
          <w:tcPr>
            <w:tcW w:type="dxa" w:w="4680"/>
          </w:tcPr>
          <w:p>
            <w:r>
              <w:rPr>
                <w:rFonts w:ascii="Times New Roman" w:hAnsi="Times New Roman"/>
                <w:sz w:val="18"/>
              </w:rPr>
              <w:t>Duplicate prevention</w:t>
            </w:r>
          </w:p>
        </w:tc>
        <w:tc>
          <w:tcPr>
            <w:tcW w:type="dxa" w:w="4680"/>
          </w:tcPr>
          <w:p>
            <w:r>
              <w:rPr>
                <w:rFonts w:ascii="Times New Roman" w:hAnsi="Times New Roman"/>
                <w:sz w:val="18"/>
              </w:rPr>
              <w:t>CAPTCHA (Cloudflare Turnstile) at consent and pre-assessment, combined with server-issued session identifiers, server-side session tracking, counter-based balanced assignment, the ≥120 s per-evaluation rule, and the submitted-only (non-draft) filter, limited duplicate or automated submissions. Methods</w:t>
            </w:r>
          </w:p>
        </w:tc>
      </w:tr>
      <w:tr>
        <w:tc>
          <w:tcPr>
            <w:tcW w:type="dxa" w:w="4680"/>
          </w:tcPr>
          <w:p>
            <w:r>
              <w:rPr>
                <w:rFonts w:ascii="Times New Roman" w:hAnsi="Times New Roman"/>
                <w:sz w:val="18"/>
              </w:rPr>
              <w:t>Log file / analysis of duplicates</w:t>
            </w:r>
          </w:p>
        </w:tc>
        <w:tc>
          <w:tcPr>
            <w:tcW w:type="dxa" w:w="4680"/>
          </w:tcPr>
          <w:p>
            <w:r>
              <w:rPr>
                <w:rFonts w:ascii="Times New Roman" w:hAnsi="Times New Roman"/>
                <w:sz w:val="18"/>
              </w:rPr>
              <w:t>Draft vs submitted state tracked server-side; only submitted (non-draft) evaluations entered analysis. Methods</w:t>
            </w:r>
          </w:p>
        </w:tc>
      </w:tr>
    </w:tbl>
    <w:p>
      <w:pPr>
        <w:pStyle w:val="Heading3"/>
      </w:pPr>
      <w:r>
        <w:t>Analysis</w:t>
      </w:r>
    </w:p>
    <w:tbl>
      <w:tblPr>
        <w:tblStyle w:val="TableGrid"/>
        <w:tblW w:type="auto" w:w="0"/>
        <w:tblLook w:firstColumn="1" w:firstRow="1" w:lastColumn="0" w:lastRow="0" w:noHBand="0" w:noVBand="1" w:val="04A0"/>
      </w:tblPr>
      <w:tblGrid>
        <w:gridCol w:w="4680"/>
        <w:gridCol w:w="4680"/>
      </w:tblGrid>
      <w:tr>
        <w:tc>
          <w:tcPr>
            <w:tcW w:type="dxa" w:w="4680"/>
          </w:tcPr>
          <w:p>
            <w:r>
              <w:rPr>
                <w:rFonts w:ascii="Times New Roman" w:hAnsi="Times New Roman"/>
                <w:b/>
                <w:sz w:val="18"/>
              </w:rPr>
              <w:t>Item</w:t>
            </w:r>
          </w:p>
        </w:tc>
        <w:tc>
          <w:tcPr>
            <w:tcW w:type="dxa" w:w="4680"/>
          </w:tcPr>
          <w:p>
            <w:r>
              <w:rPr>
                <w:rFonts w:ascii="Times New Roman" w:hAnsi="Times New Roman"/>
                <w:b/>
                <w:sz w:val="18"/>
              </w:rPr>
              <w:t>Response / location</w:t>
            </w:r>
          </w:p>
        </w:tc>
      </w:tr>
      <w:tr>
        <w:tc>
          <w:tcPr>
            <w:tcW w:type="dxa" w:w="4680"/>
          </w:tcPr>
          <w:p>
            <w:r>
              <w:rPr>
                <w:rFonts w:ascii="Times New Roman" w:hAnsi="Times New Roman"/>
                <w:sz w:val="18"/>
              </w:rPr>
              <w:t>Handling of incomplete questionnaires</w:t>
            </w:r>
          </w:p>
        </w:tc>
        <w:tc>
          <w:tcPr>
            <w:tcW w:type="dxa" w:w="4680"/>
          </w:tcPr>
          <w:p>
            <w:r>
              <w:rPr>
                <w:rFonts w:ascii="Times New Roman" w:hAnsi="Times New Roman"/>
                <w:sz w:val="18"/>
              </w:rPr>
              <w:t>Unit = submitted plan evaluation; partial-item evaluations contribute to available-item analyses; complete-case total score reported separately (n=124). Methods (Statistical analysis); Results</w:t>
            </w:r>
          </w:p>
        </w:tc>
      </w:tr>
      <w:tr>
        <w:tc>
          <w:tcPr>
            <w:tcW w:type="dxa" w:w="4680"/>
          </w:tcPr>
          <w:p>
            <w:r>
              <w:rPr>
                <w:rFonts w:ascii="Times New Roman" w:hAnsi="Times New Roman"/>
                <w:sz w:val="18"/>
              </w:rPr>
              <w:t>Questionnaires with atypical timestamps</w:t>
            </w:r>
          </w:p>
        </w:tc>
        <w:tc>
          <w:tcPr>
            <w:tcW w:type="dxa" w:w="4680"/>
          </w:tcPr>
          <w:p>
            <w:r>
              <w:rPr>
                <w:rFonts w:ascii="Times New Roman" w:hAnsi="Times New Roman"/>
                <w:sz w:val="18"/>
              </w:rPr>
              <w:t>Evaluations under 120 s excluded as a prespecified data-quality rule. Methods (Statistical analysis)</w:t>
            </w:r>
          </w:p>
        </w:tc>
      </w:tr>
      <w:tr>
        <w:tc>
          <w:tcPr>
            <w:tcW w:type="dxa" w:w="4680"/>
          </w:tcPr>
          <w:p>
            <w:r>
              <w:rPr>
                <w:rFonts w:ascii="Times New Roman" w:hAnsi="Times New Roman"/>
                <w:sz w:val="18"/>
              </w:rPr>
              <w:t>Statistical correction / weighting</w:t>
            </w:r>
          </w:p>
        </w:tc>
        <w:tc>
          <w:tcPr>
            <w:tcW w:type="dxa" w:w="4680"/>
          </w:tcPr>
          <w:p>
            <w:r>
              <w:rPr>
                <w:rFonts w:ascii="Times New Roman" w:hAnsi="Times New Roman"/>
                <w:sz w:val="18"/>
              </w:rPr>
              <w:t>No imputation or weighting; nested structure addressed by within-evaluator, plan-level, and mixed-effects analyses. Methods (Statistical analysis)</w:t>
            </w:r>
          </w:p>
        </w:tc>
      </w:tr>
    </w:tbl>
    <w:p>
      <w:pPr>
        <w:pStyle w:val="Heading1"/>
      </w:pPr>
      <w:r>
        <w:t>3. Note on uncomputable CHERRIES items</w:t>
      </w:r>
    </w:p>
    <w:p>
      <w:r>
        <w:rPr>
          <w:rFonts w:ascii="Times New Roman" w:hAnsi="Times New Roman"/>
          <w:sz w:val="22"/>
        </w:rPr>
        <w:t>CHERRIES explicitly allows that not every item applies to every design. In this anonymous, IP-free study, the unique site-visitor count and a strict view rate were not collected, by design, to protect participant anonymity. We report this transparently rather than estimate it, and we provide the documented session/evaluation funnel (Section 1) so that completion can be verified. This choice is consistent with the data-protection emphasis of the same reporting standard.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6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Times New Roman" w:hAnsi="Times New Roman"/>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