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Times New Roman" w:hAnsi="Times New Roman"/>
          <w:b/>
          <w:sz w:val="28"/>
        </w:rPr>
        <w:t>Online Resource 2 — Blinded evaluation instrument (verbatim)</w:t>
      </w:r>
    </w:p>
    <w:p>
      <w:r>
        <w:rPr>
          <w:rFonts w:ascii="Times New Roman" w:hAnsi="Times New Roman"/>
          <w:sz w:val="22"/>
        </w:rPr>
        <w:t>This document reproduces the rating instrument exactly as presented to evaluators in the NextNutri research module. Items were administered in Brazilian Portuguese; an English translation is provided for the reader. The instrument was identical for AI-generated and dietitian-designed plans, and no plan-origin information was shown.</w:t>
      </w:r>
    </w:p>
    <w:p>
      <w:pPr>
        <w:pStyle w:val="Heading1"/>
      </w:pPr>
      <w:r>
        <w:t>1. Response scale (all items)</w:t>
      </w:r>
    </w:p>
    <w:p>
      <w:r>
        <w:rPr>
          <w:rFonts w:ascii="Times New Roman" w:hAnsi="Times New Roman"/>
          <w:sz w:val="22"/>
        </w:rPr>
        <w:t>A symmetric 5-point Likert agreement scale was used for every item:</w:t>
      </w:r>
    </w:p>
    <w:tbl>
      <w:tblPr>
        <w:tblStyle w:val="TableGrid"/>
        <w:tblW w:type="auto" w:w="0"/>
        <w:tblLook w:firstColumn="1" w:firstRow="1" w:lastColumn="0" w:lastRow="0" w:noHBand="0" w:noVBand="1" w:val="04A0"/>
      </w:tblPr>
      <w:tblGrid>
        <w:gridCol w:w="3120"/>
        <w:gridCol w:w="3120"/>
        <w:gridCol w:w="3120"/>
      </w:tblGrid>
      <w:tr>
        <w:tc>
          <w:tcPr>
            <w:tcW w:type="dxa" w:w="3120"/>
          </w:tcPr>
          <w:p>
            <w:r>
              <w:rPr>
                <w:rFonts w:ascii="Times New Roman" w:hAnsi="Times New Roman"/>
                <w:b/>
                <w:sz w:val="18"/>
              </w:rPr>
              <w:t>Value</w:t>
            </w:r>
          </w:p>
        </w:tc>
        <w:tc>
          <w:tcPr>
            <w:tcW w:type="dxa" w:w="3120"/>
          </w:tcPr>
          <w:p>
            <w:r>
              <w:rPr>
                <w:rFonts w:ascii="Times New Roman" w:hAnsi="Times New Roman"/>
                <w:b/>
                <w:sz w:val="18"/>
              </w:rPr>
              <w:t>Portuguese anchor</w:t>
            </w:r>
          </w:p>
        </w:tc>
        <w:tc>
          <w:tcPr>
            <w:tcW w:type="dxa" w:w="3120"/>
          </w:tcPr>
          <w:p>
            <w:r>
              <w:rPr>
                <w:rFonts w:ascii="Times New Roman" w:hAnsi="Times New Roman"/>
                <w:b/>
                <w:sz w:val="18"/>
              </w:rPr>
              <w:t>English translation</w:t>
            </w:r>
          </w:p>
        </w:tc>
      </w:tr>
      <w:tr>
        <w:tc>
          <w:tcPr>
            <w:tcW w:type="dxa" w:w="3120"/>
          </w:tcPr>
          <w:p>
            <w:r>
              <w:rPr>
                <w:rFonts w:ascii="Times New Roman" w:hAnsi="Times New Roman"/>
                <w:sz w:val="18"/>
              </w:rPr>
              <w:t>1</w:t>
            </w:r>
          </w:p>
        </w:tc>
        <w:tc>
          <w:tcPr>
            <w:tcW w:type="dxa" w:w="3120"/>
          </w:tcPr>
          <w:p>
            <w:r>
              <w:rPr>
                <w:rFonts w:ascii="Times New Roman" w:hAnsi="Times New Roman"/>
                <w:sz w:val="18"/>
              </w:rPr>
              <w:t>Discordo totalmente</w:t>
            </w:r>
          </w:p>
        </w:tc>
        <w:tc>
          <w:tcPr>
            <w:tcW w:type="dxa" w:w="3120"/>
          </w:tcPr>
          <w:p>
            <w:r>
              <w:rPr>
                <w:rFonts w:ascii="Times New Roman" w:hAnsi="Times New Roman"/>
                <w:sz w:val="18"/>
              </w:rPr>
              <w:t>Strongly disagree</w:t>
            </w:r>
          </w:p>
        </w:tc>
      </w:tr>
      <w:tr>
        <w:tc>
          <w:tcPr>
            <w:tcW w:type="dxa" w:w="3120"/>
          </w:tcPr>
          <w:p>
            <w:r>
              <w:rPr>
                <w:rFonts w:ascii="Times New Roman" w:hAnsi="Times New Roman"/>
                <w:sz w:val="18"/>
              </w:rPr>
              <w:t>2</w:t>
            </w:r>
          </w:p>
        </w:tc>
        <w:tc>
          <w:tcPr>
            <w:tcW w:type="dxa" w:w="3120"/>
          </w:tcPr>
          <w:p>
            <w:r>
              <w:rPr>
                <w:rFonts w:ascii="Times New Roman" w:hAnsi="Times New Roman"/>
                <w:sz w:val="18"/>
              </w:rPr>
              <w:t>Discordo</w:t>
            </w:r>
          </w:p>
        </w:tc>
        <w:tc>
          <w:tcPr>
            <w:tcW w:type="dxa" w:w="3120"/>
          </w:tcPr>
          <w:p>
            <w:r>
              <w:rPr>
                <w:rFonts w:ascii="Times New Roman" w:hAnsi="Times New Roman"/>
                <w:sz w:val="18"/>
              </w:rPr>
              <w:t>Disagree</w:t>
            </w:r>
          </w:p>
        </w:tc>
      </w:tr>
      <w:tr>
        <w:tc>
          <w:tcPr>
            <w:tcW w:type="dxa" w:w="3120"/>
          </w:tcPr>
          <w:p>
            <w:r>
              <w:rPr>
                <w:rFonts w:ascii="Times New Roman" w:hAnsi="Times New Roman"/>
                <w:sz w:val="18"/>
              </w:rPr>
              <w:t>3</w:t>
            </w:r>
          </w:p>
        </w:tc>
        <w:tc>
          <w:tcPr>
            <w:tcW w:type="dxa" w:w="3120"/>
          </w:tcPr>
          <w:p>
            <w:r>
              <w:rPr>
                <w:rFonts w:ascii="Times New Roman" w:hAnsi="Times New Roman"/>
                <w:sz w:val="18"/>
              </w:rPr>
              <w:t>Nem concordo nem discordo</w:t>
            </w:r>
          </w:p>
        </w:tc>
        <w:tc>
          <w:tcPr>
            <w:tcW w:type="dxa" w:w="3120"/>
          </w:tcPr>
          <w:p>
            <w:r>
              <w:rPr>
                <w:rFonts w:ascii="Times New Roman" w:hAnsi="Times New Roman"/>
                <w:sz w:val="18"/>
              </w:rPr>
              <w:t>Neither agree nor disagree</w:t>
            </w:r>
          </w:p>
        </w:tc>
      </w:tr>
      <w:tr>
        <w:tc>
          <w:tcPr>
            <w:tcW w:type="dxa" w:w="3120"/>
          </w:tcPr>
          <w:p>
            <w:r>
              <w:rPr>
                <w:rFonts w:ascii="Times New Roman" w:hAnsi="Times New Roman"/>
                <w:sz w:val="18"/>
              </w:rPr>
              <w:t>4</w:t>
            </w:r>
          </w:p>
        </w:tc>
        <w:tc>
          <w:tcPr>
            <w:tcW w:type="dxa" w:w="3120"/>
          </w:tcPr>
          <w:p>
            <w:r>
              <w:rPr>
                <w:rFonts w:ascii="Times New Roman" w:hAnsi="Times New Roman"/>
                <w:sz w:val="18"/>
              </w:rPr>
              <w:t>Concordo</w:t>
            </w:r>
          </w:p>
        </w:tc>
        <w:tc>
          <w:tcPr>
            <w:tcW w:type="dxa" w:w="3120"/>
          </w:tcPr>
          <w:p>
            <w:r>
              <w:rPr>
                <w:rFonts w:ascii="Times New Roman" w:hAnsi="Times New Roman"/>
                <w:sz w:val="18"/>
              </w:rPr>
              <w:t>Agree</w:t>
            </w:r>
          </w:p>
        </w:tc>
      </w:tr>
      <w:tr>
        <w:tc>
          <w:tcPr>
            <w:tcW w:type="dxa" w:w="3120"/>
          </w:tcPr>
          <w:p>
            <w:r>
              <w:rPr>
                <w:rFonts w:ascii="Times New Roman" w:hAnsi="Times New Roman"/>
                <w:sz w:val="18"/>
              </w:rPr>
              <w:t>5</w:t>
            </w:r>
          </w:p>
        </w:tc>
        <w:tc>
          <w:tcPr>
            <w:tcW w:type="dxa" w:w="3120"/>
          </w:tcPr>
          <w:p>
            <w:r>
              <w:rPr>
                <w:rFonts w:ascii="Times New Roman" w:hAnsi="Times New Roman"/>
                <w:sz w:val="18"/>
              </w:rPr>
              <w:t>Concordo totalmente</w:t>
            </w:r>
          </w:p>
        </w:tc>
        <w:tc>
          <w:tcPr>
            <w:tcW w:type="dxa" w:w="3120"/>
          </w:tcPr>
          <w:p>
            <w:r>
              <w:rPr>
                <w:rFonts w:ascii="Times New Roman" w:hAnsi="Times New Roman"/>
                <w:sz w:val="18"/>
              </w:rPr>
              <w:t>Strongly agree</w:t>
            </w:r>
          </w:p>
        </w:tc>
      </w:tr>
    </w:tbl>
    <w:p>
      <w:r>
        <w:rPr>
          <w:rFonts w:ascii="Times New Roman" w:hAnsi="Times New Roman"/>
          <w:sz w:val="22"/>
        </w:rPr>
        <w:t>Each plan was rated on nine items grouped into three domains. The primary outcome was the overall mean across available items; domain means (the mean of the three items in each domain) were secondary outcomes. Items were presented within their domain blocks; presentation order of plans was randomized and the interface gave no cue to plan origin.</w:t>
      </w:r>
    </w:p>
    <w:p>
      <w:pPr>
        <w:pStyle w:val="Heading1"/>
      </w:pPr>
      <w:r>
        <w:t>2. Domain 1 — Nutritional adequacy (Adequação Nutricional)</w:t>
      </w:r>
    </w:p>
    <w:p>
      <w:r>
        <w:rPr>
          <w:rFonts w:ascii="Times New Roman" w:hAnsi="Times New Roman"/>
          <w:sz w:val="22"/>
        </w:rPr>
        <w:t>Domain prompt (PT): "Avalie se o plano atende às necessidades nutricionais do paciente."</w:t>
      </w:r>
    </w:p>
    <w:p>
      <w:r>
        <w:rPr>
          <w:rFonts w:ascii="Times New Roman" w:hAnsi="Times New Roman"/>
          <w:sz w:val="22"/>
        </w:rPr>
        <w:t>Domain prompt (EN): "Assess whether the plan meets the patient's nutritional needs."</w:t>
      </w:r>
    </w:p>
    <w:tbl>
      <w:tblPr>
        <w:tblStyle w:val="TableGrid"/>
        <w:tblW w:type="auto" w:w="0"/>
        <w:tblLook w:firstColumn="1" w:firstRow="1" w:lastColumn="0" w:lastRow="0" w:noHBand="0" w:noVBand="1" w:val="04A0"/>
      </w:tblPr>
      <w:tblGrid>
        <w:gridCol w:w="3120"/>
        <w:gridCol w:w="3120"/>
        <w:gridCol w:w="3120"/>
      </w:tblGrid>
      <w:tr>
        <w:tc>
          <w:tcPr>
            <w:tcW w:type="dxa" w:w="3120"/>
          </w:tcPr>
          <w:p>
            <w:r>
              <w:rPr>
                <w:rFonts w:ascii="Times New Roman" w:hAnsi="Times New Roman"/>
                <w:b/>
                <w:sz w:val="18"/>
              </w:rPr>
              <w:t>Item</w:t>
            </w:r>
          </w:p>
        </w:tc>
        <w:tc>
          <w:tcPr>
            <w:tcW w:type="dxa" w:w="3120"/>
          </w:tcPr>
          <w:p>
            <w:r>
              <w:rPr>
                <w:rFonts w:ascii="Times New Roman" w:hAnsi="Times New Roman"/>
                <w:b/>
                <w:sz w:val="18"/>
              </w:rPr>
              <w:t>Portuguese (as administered)</w:t>
            </w:r>
          </w:p>
        </w:tc>
        <w:tc>
          <w:tcPr>
            <w:tcW w:type="dxa" w:w="3120"/>
          </w:tcPr>
          <w:p>
            <w:r>
              <w:rPr>
                <w:rFonts w:ascii="Times New Roman" w:hAnsi="Times New Roman"/>
                <w:b/>
                <w:sz w:val="18"/>
              </w:rPr>
              <w:t>English translation</w:t>
            </w:r>
          </w:p>
        </w:tc>
      </w:tr>
      <w:tr>
        <w:tc>
          <w:tcPr>
            <w:tcW w:type="dxa" w:w="3120"/>
          </w:tcPr>
          <w:p>
            <w:r>
              <w:rPr>
                <w:rFonts w:ascii="Times New Roman" w:hAnsi="Times New Roman"/>
                <w:sz w:val="18"/>
              </w:rPr>
              <w:t>an1</w:t>
            </w:r>
          </w:p>
        </w:tc>
        <w:tc>
          <w:tcPr>
            <w:tcW w:type="dxa" w:w="3120"/>
          </w:tcPr>
          <w:p>
            <w:r>
              <w:rPr>
                <w:rFonts w:ascii="Times New Roman" w:hAnsi="Times New Roman"/>
                <w:sz w:val="18"/>
              </w:rPr>
              <w:t>Este plano apresenta aporte calórico adequado às necessidades do paciente.</w:t>
            </w:r>
          </w:p>
        </w:tc>
        <w:tc>
          <w:tcPr>
            <w:tcW w:type="dxa" w:w="3120"/>
          </w:tcPr>
          <w:p>
            <w:r>
              <w:rPr>
                <w:rFonts w:ascii="Times New Roman" w:hAnsi="Times New Roman"/>
                <w:sz w:val="18"/>
              </w:rPr>
              <w:t>This plan provides energy intake adequate to the patient's needs.</w:t>
            </w:r>
          </w:p>
        </w:tc>
      </w:tr>
      <w:tr>
        <w:tc>
          <w:tcPr>
            <w:tcW w:type="dxa" w:w="3120"/>
          </w:tcPr>
          <w:p>
            <w:r>
              <w:rPr>
                <w:rFonts w:ascii="Times New Roman" w:hAnsi="Times New Roman"/>
                <w:sz w:val="18"/>
              </w:rPr>
              <w:t>an2</w:t>
            </w:r>
          </w:p>
        </w:tc>
        <w:tc>
          <w:tcPr>
            <w:tcW w:type="dxa" w:w="3120"/>
          </w:tcPr>
          <w:p>
            <w:r>
              <w:rPr>
                <w:rFonts w:ascii="Times New Roman" w:hAnsi="Times New Roman"/>
                <w:sz w:val="18"/>
              </w:rPr>
              <w:t>Este plano possui distribuição de macronutrientes apropriada ao objetivo.</w:t>
            </w:r>
          </w:p>
        </w:tc>
        <w:tc>
          <w:tcPr>
            <w:tcW w:type="dxa" w:w="3120"/>
          </w:tcPr>
          <w:p>
            <w:r>
              <w:rPr>
                <w:rFonts w:ascii="Times New Roman" w:hAnsi="Times New Roman"/>
                <w:sz w:val="18"/>
              </w:rPr>
              <w:t>This plan has a macronutrient distribution appropriate to the objective.</w:t>
            </w:r>
          </w:p>
        </w:tc>
      </w:tr>
      <w:tr>
        <w:tc>
          <w:tcPr>
            <w:tcW w:type="dxa" w:w="3120"/>
          </w:tcPr>
          <w:p>
            <w:r>
              <w:rPr>
                <w:rFonts w:ascii="Times New Roman" w:hAnsi="Times New Roman"/>
                <w:sz w:val="18"/>
              </w:rPr>
              <w:t>an3</w:t>
            </w:r>
          </w:p>
        </w:tc>
        <w:tc>
          <w:tcPr>
            <w:tcW w:type="dxa" w:w="3120"/>
          </w:tcPr>
          <w:p>
            <w:r>
              <w:rPr>
                <w:rFonts w:ascii="Times New Roman" w:hAnsi="Times New Roman"/>
                <w:sz w:val="18"/>
              </w:rPr>
              <w:t>Este plano contempla variedade adequada de grupos alimentares.</w:t>
            </w:r>
          </w:p>
        </w:tc>
        <w:tc>
          <w:tcPr>
            <w:tcW w:type="dxa" w:w="3120"/>
          </w:tcPr>
          <w:p>
            <w:r>
              <w:rPr>
                <w:rFonts w:ascii="Times New Roman" w:hAnsi="Times New Roman"/>
                <w:sz w:val="18"/>
              </w:rPr>
              <w:t>This plan includes adequate variety across food groups.</w:t>
            </w:r>
          </w:p>
        </w:tc>
      </w:tr>
    </w:tbl>
    <w:p>
      <w:pPr>
        <w:pStyle w:val="Heading1"/>
      </w:pPr>
      <w:r>
        <w:t>3. Domain 2 — Technical quality (Qualidade Técnica)</w:t>
      </w:r>
    </w:p>
    <w:p>
      <w:r>
        <w:rPr>
          <w:rFonts w:ascii="Times New Roman" w:hAnsi="Times New Roman"/>
          <w:sz w:val="22"/>
        </w:rPr>
        <w:t>Domain prompt (PT): "Avalie a qualidade técnica e profissional do plano."</w:t>
      </w:r>
    </w:p>
    <w:p>
      <w:r>
        <w:rPr>
          <w:rFonts w:ascii="Times New Roman" w:hAnsi="Times New Roman"/>
          <w:sz w:val="22"/>
        </w:rPr>
        <w:t>Domain prompt (EN): "Assess the technical and professional quality of the plan."</w:t>
      </w:r>
    </w:p>
    <w:tbl>
      <w:tblPr>
        <w:tblStyle w:val="TableGrid"/>
        <w:tblW w:type="auto" w:w="0"/>
        <w:tblLook w:firstColumn="1" w:firstRow="1" w:lastColumn="0" w:lastRow="0" w:noHBand="0" w:noVBand="1" w:val="04A0"/>
      </w:tblPr>
      <w:tblGrid>
        <w:gridCol w:w="3120"/>
        <w:gridCol w:w="3120"/>
        <w:gridCol w:w="3120"/>
      </w:tblGrid>
      <w:tr>
        <w:tc>
          <w:tcPr>
            <w:tcW w:type="dxa" w:w="3120"/>
          </w:tcPr>
          <w:p>
            <w:r>
              <w:rPr>
                <w:rFonts w:ascii="Times New Roman" w:hAnsi="Times New Roman"/>
                <w:b/>
                <w:sz w:val="18"/>
              </w:rPr>
              <w:t>Item</w:t>
            </w:r>
          </w:p>
        </w:tc>
        <w:tc>
          <w:tcPr>
            <w:tcW w:type="dxa" w:w="3120"/>
          </w:tcPr>
          <w:p>
            <w:r>
              <w:rPr>
                <w:rFonts w:ascii="Times New Roman" w:hAnsi="Times New Roman"/>
                <w:b/>
                <w:sz w:val="18"/>
              </w:rPr>
              <w:t>Portuguese (as administered)</w:t>
            </w:r>
          </w:p>
        </w:tc>
        <w:tc>
          <w:tcPr>
            <w:tcW w:type="dxa" w:w="3120"/>
          </w:tcPr>
          <w:p>
            <w:r>
              <w:rPr>
                <w:rFonts w:ascii="Times New Roman" w:hAnsi="Times New Roman"/>
                <w:b/>
                <w:sz w:val="18"/>
              </w:rPr>
              <w:t>English translation</w:t>
            </w:r>
          </w:p>
        </w:tc>
      </w:tr>
      <w:tr>
        <w:tc>
          <w:tcPr>
            <w:tcW w:type="dxa" w:w="3120"/>
          </w:tcPr>
          <w:p>
            <w:r>
              <w:rPr>
                <w:rFonts w:ascii="Times New Roman" w:hAnsi="Times New Roman"/>
                <w:sz w:val="18"/>
              </w:rPr>
              <w:t>qt1</w:t>
            </w:r>
          </w:p>
        </w:tc>
        <w:tc>
          <w:tcPr>
            <w:tcW w:type="dxa" w:w="3120"/>
          </w:tcPr>
          <w:p>
            <w:r>
              <w:rPr>
                <w:rFonts w:ascii="Times New Roman" w:hAnsi="Times New Roman"/>
                <w:sz w:val="18"/>
              </w:rPr>
              <w:t>Este plano reflete conhecimento técnico e científico em nutrição.</w:t>
            </w:r>
          </w:p>
        </w:tc>
        <w:tc>
          <w:tcPr>
            <w:tcW w:type="dxa" w:w="3120"/>
          </w:tcPr>
          <w:p>
            <w:r>
              <w:rPr>
                <w:rFonts w:ascii="Times New Roman" w:hAnsi="Times New Roman"/>
                <w:sz w:val="18"/>
              </w:rPr>
              <w:t>This plan reflects technical and scientific knowledge in nutrition.</w:t>
            </w:r>
          </w:p>
        </w:tc>
      </w:tr>
      <w:tr>
        <w:tc>
          <w:tcPr>
            <w:tcW w:type="dxa" w:w="3120"/>
          </w:tcPr>
          <w:p>
            <w:r>
              <w:rPr>
                <w:rFonts w:ascii="Times New Roman" w:hAnsi="Times New Roman"/>
                <w:sz w:val="18"/>
              </w:rPr>
              <w:t>qt2</w:t>
            </w:r>
          </w:p>
        </w:tc>
        <w:tc>
          <w:tcPr>
            <w:tcW w:type="dxa" w:w="3120"/>
          </w:tcPr>
          <w:p>
            <w:r>
              <w:rPr>
                <w:rFonts w:ascii="Times New Roman" w:hAnsi="Times New Roman"/>
                <w:sz w:val="18"/>
              </w:rPr>
              <w:t>Este plano apresenta coerência entre os alimentos e o objetivo proposto.</w:t>
            </w:r>
          </w:p>
        </w:tc>
        <w:tc>
          <w:tcPr>
            <w:tcW w:type="dxa" w:w="3120"/>
          </w:tcPr>
          <w:p>
            <w:r>
              <w:rPr>
                <w:rFonts w:ascii="Times New Roman" w:hAnsi="Times New Roman"/>
                <w:sz w:val="18"/>
              </w:rPr>
              <w:t>This plan shows coherence between the foods and the proposed objective.</w:t>
            </w:r>
          </w:p>
        </w:tc>
      </w:tr>
      <w:tr>
        <w:tc>
          <w:tcPr>
            <w:tcW w:type="dxa" w:w="3120"/>
          </w:tcPr>
          <w:p>
            <w:r>
              <w:rPr>
                <w:rFonts w:ascii="Times New Roman" w:hAnsi="Times New Roman"/>
                <w:sz w:val="18"/>
              </w:rPr>
              <w:t>qt3</w:t>
            </w:r>
          </w:p>
        </w:tc>
        <w:tc>
          <w:tcPr>
            <w:tcW w:type="dxa" w:w="3120"/>
          </w:tcPr>
          <w:p>
            <w:r>
              <w:rPr>
                <w:rFonts w:ascii="Times New Roman" w:hAnsi="Times New Roman"/>
                <w:sz w:val="18"/>
              </w:rPr>
              <w:t>Este plano segue boas práticas de prescrição dietética.</w:t>
            </w:r>
          </w:p>
        </w:tc>
        <w:tc>
          <w:tcPr>
            <w:tcW w:type="dxa" w:w="3120"/>
          </w:tcPr>
          <w:p>
            <w:r>
              <w:rPr>
                <w:rFonts w:ascii="Times New Roman" w:hAnsi="Times New Roman"/>
                <w:sz w:val="18"/>
              </w:rPr>
              <w:t>This plan follows good practices of dietary prescription.</w:t>
            </w:r>
          </w:p>
        </w:tc>
      </w:tr>
    </w:tbl>
    <w:p>
      <w:pPr>
        <w:pStyle w:val="Heading1"/>
      </w:pPr>
      <w:r>
        <w:t>4. Domain 3 — Practical applicability (Aplicabilidade)</w:t>
      </w:r>
    </w:p>
    <w:p>
      <w:r>
        <w:rPr>
          <w:rFonts w:ascii="Times New Roman" w:hAnsi="Times New Roman"/>
          <w:sz w:val="22"/>
        </w:rPr>
        <w:t>Domain prompt (PT): "Avalie se o plano é viável e aplicável na prática."</w:t>
      </w:r>
    </w:p>
    <w:p>
      <w:r>
        <w:rPr>
          <w:rFonts w:ascii="Times New Roman" w:hAnsi="Times New Roman"/>
          <w:sz w:val="22"/>
        </w:rPr>
        <w:t>Domain prompt (EN): "Assess whether the plan is feasible and applicable in practice."</w:t>
      </w:r>
    </w:p>
    <w:tbl>
      <w:tblPr>
        <w:tblStyle w:val="TableGrid"/>
        <w:tblW w:type="auto" w:w="0"/>
        <w:tblLook w:firstColumn="1" w:firstRow="1" w:lastColumn="0" w:lastRow="0" w:noHBand="0" w:noVBand="1" w:val="04A0"/>
      </w:tblPr>
      <w:tblGrid>
        <w:gridCol w:w="3120"/>
        <w:gridCol w:w="3120"/>
        <w:gridCol w:w="3120"/>
      </w:tblGrid>
      <w:tr>
        <w:tc>
          <w:tcPr>
            <w:tcW w:type="dxa" w:w="3120"/>
          </w:tcPr>
          <w:p>
            <w:r>
              <w:rPr>
                <w:rFonts w:ascii="Times New Roman" w:hAnsi="Times New Roman"/>
                <w:b/>
                <w:sz w:val="18"/>
              </w:rPr>
              <w:t>Item</w:t>
            </w:r>
          </w:p>
        </w:tc>
        <w:tc>
          <w:tcPr>
            <w:tcW w:type="dxa" w:w="3120"/>
          </w:tcPr>
          <w:p>
            <w:r>
              <w:rPr>
                <w:rFonts w:ascii="Times New Roman" w:hAnsi="Times New Roman"/>
                <w:b/>
                <w:sz w:val="18"/>
              </w:rPr>
              <w:t>Portuguese (as administered)</w:t>
            </w:r>
          </w:p>
        </w:tc>
        <w:tc>
          <w:tcPr>
            <w:tcW w:type="dxa" w:w="3120"/>
          </w:tcPr>
          <w:p>
            <w:r>
              <w:rPr>
                <w:rFonts w:ascii="Times New Roman" w:hAnsi="Times New Roman"/>
                <w:b/>
                <w:sz w:val="18"/>
              </w:rPr>
              <w:t>English translation</w:t>
            </w:r>
          </w:p>
        </w:tc>
      </w:tr>
      <w:tr>
        <w:tc>
          <w:tcPr>
            <w:tcW w:type="dxa" w:w="3120"/>
          </w:tcPr>
          <w:p>
            <w:r>
              <w:rPr>
                <w:rFonts w:ascii="Times New Roman" w:hAnsi="Times New Roman"/>
                <w:sz w:val="18"/>
              </w:rPr>
              <w:t>ap1</w:t>
            </w:r>
          </w:p>
        </w:tc>
        <w:tc>
          <w:tcPr>
            <w:tcW w:type="dxa" w:w="3120"/>
          </w:tcPr>
          <w:p>
            <w:r>
              <w:rPr>
                <w:rFonts w:ascii="Times New Roman" w:hAnsi="Times New Roman"/>
                <w:sz w:val="18"/>
              </w:rPr>
              <w:t>Este plano é compatível com uma rotina alimentar cotidiana.</w:t>
            </w:r>
          </w:p>
        </w:tc>
        <w:tc>
          <w:tcPr>
            <w:tcW w:type="dxa" w:w="3120"/>
          </w:tcPr>
          <w:p>
            <w:r>
              <w:rPr>
                <w:rFonts w:ascii="Times New Roman" w:hAnsi="Times New Roman"/>
                <w:sz w:val="18"/>
              </w:rPr>
              <w:t>This plan is compatible with an everyday eating routine.</w:t>
            </w:r>
          </w:p>
        </w:tc>
      </w:tr>
      <w:tr>
        <w:tc>
          <w:tcPr>
            <w:tcW w:type="dxa" w:w="3120"/>
          </w:tcPr>
          <w:p>
            <w:r>
              <w:rPr>
                <w:rFonts w:ascii="Times New Roman" w:hAnsi="Times New Roman"/>
                <w:sz w:val="18"/>
              </w:rPr>
              <w:t>ap2</w:t>
            </w:r>
          </w:p>
        </w:tc>
        <w:tc>
          <w:tcPr>
            <w:tcW w:type="dxa" w:w="3120"/>
          </w:tcPr>
          <w:p>
            <w:r>
              <w:rPr>
                <w:rFonts w:ascii="Times New Roman" w:hAnsi="Times New Roman"/>
                <w:sz w:val="18"/>
              </w:rPr>
              <w:t>Este plano é facilmente executável pelo paciente.</w:t>
            </w:r>
          </w:p>
        </w:tc>
        <w:tc>
          <w:tcPr>
            <w:tcW w:type="dxa" w:w="3120"/>
          </w:tcPr>
          <w:p>
            <w:r>
              <w:rPr>
                <w:rFonts w:ascii="Times New Roman" w:hAnsi="Times New Roman"/>
                <w:sz w:val="18"/>
              </w:rPr>
              <w:t>This plan is easily executable by the patient.</w:t>
            </w:r>
          </w:p>
        </w:tc>
      </w:tr>
      <w:tr>
        <w:tc>
          <w:tcPr>
            <w:tcW w:type="dxa" w:w="3120"/>
          </w:tcPr>
          <w:p>
            <w:r>
              <w:rPr>
                <w:rFonts w:ascii="Times New Roman" w:hAnsi="Times New Roman"/>
                <w:sz w:val="18"/>
              </w:rPr>
              <w:t>ap3</w:t>
            </w:r>
          </w:p>
        </w:tc>
        <w:tc>
          <w:tcPr>
            <w:tcW w:type="dxa" w:w="3120"/>
          </w:tcPr>
          <w:p>
            <w:r>
              <w:rPr>
                <w:rFonts w:ascii="Times New Roman" w:hAnsi="Times New Roman"/>
                <w:sz w:val="18"/>
              </w:rPr>
              <w:t>Este plano favorece a adesão do paciente.</w:t>
            </w:r>
          </w:p>
        </w:tc>
        <w:tc>
          <w:tcPr>
            <w:tcW w:type="dxa" w:w="3120"/>
          </w:tcPr>
          <w:p>
            <w:r>
              <w:rPr>
                <w:rFonts w:ascii="Times New Roman" w:hAnsi="Times New Roman"/>
                <w:sz w:val="18"/>
              </w:rPr>
              <w:t>This plan supports patient adherence.</w:t>
            </w:r>
          </w:p>
        </w:tc>
      </w:tr>
    </w:tbl>
    <w:p>
      <w:pPr>
        <w:pStyle w:val="Heading1"/>
      </w:pPr>
      <w:r>
        <w:t>5. Optional pairwise comparison (supportive measure)</w:t>
      </w:r>
    </w:p>
    <w:p>
      <w:r>
        <w:rPr>
          <w:rFonts w:ascii="Times New Roman" w:hAnsi="Times New Roman"/>
          <w:sz w:val="22"/>
        </w:rPr>
        <w:t>After the individual ratings, evaluators could view a side-by-side comparison of two plans from a persona they had already evaluated, displayed with neutral "Plan A" / "Plan B" labels. They indicated which plan they would recommend and, optionally, why (free text). They also stated which plan they believed was AI-generated; this served as the blinding manipulation check tested against the 50% chance level with an exact binomial test (main text, Results). These comparisons were supportive evidence, not the primary outcome.</w:t>
      </w:r>
    </w:p>
    <w:p>
      <w:pPr>
        <w:pStyle w:val="Heading1"/>
      </w:pPr>
      <w:r>
        <w:t>6. Optional free-text comment</w:t>
      </w:r>
    </w:p>
    <w:p>
      <w:r>
        <w:rPr>
          <w:rFonts w:ascii="Times New Roman" w:hAnsi="Times New Roman"/>
          <w:sz w:val="22"/>
        </w:rPr>
        <w:t>After rating each plan, evaluators could leave an optional free-text comment. The exploratory inductive content analysis of these comments is summarized in the main text (Results) and Online Resource 1.</w:t>
      </w:r>
    </w:p>
    <w:p>
      <w:pPr>
        <w:pStyle w:val="Heading1"/>
      </w:pPr>
      <w:r>
        <w:t>7. Pre-assessment (eligibility and descriptive characteristics)</w:t>
      </w:r>
    </w:p>
    <w:p>
      <w:r>
        <w:rPr>
          <w:rFonts w:ascii="Times New Roman" w:hAnsi="Times New Roman"/>
          <w:sz w:val="22"/>
        </w:rPr>
        <w:t>Before the rating task, and after electronic informed consent, participants completed a structured pre-assessment. The first item after consent was an eligibility screen: respondents who did not confirm at least one year since graduation in nutrition were thanked and did not proceed, and no data were stored for them. Eligibility required active CRN registration and current meal-plan prescribing practice. Descriptive characteristics recorded included professional experience (&lt;2, 2–5, 6–10, &gt;10 years), education level, age range, region/state (UF), practice modality, monthly appointment volume, who prepares the first plan in routine practice, typical plan-delivery time, and two perception items (plan importance and patient adherence) rated on the same 5-point scale. Age, experience, education, and region are summarized in Table 2 of the main manuscript; the remaining fields were collected for completeness.</w:t>
      </w:r>
    </w:p>
    <w:p>
      <w:pPr>
        <w:pStyle w:val="Heading1"/>
      </w:pPr>
      <w:r>
        <w:t>8. Characteristics of the comparator dietitians (plan authors)</w:t>
      </w:r>
    </w:p>
    <w:p>
      <w:r>
        <w:rPr>
          <w:rFonts w:ascii="Times New Roman" w:hAnsi="Times New Roman"/>
          <w:sz w:val="22"/>
        </w:rPr>
        <w:t>The four registered dietitians who authored the human comparator plans completed a brief characterization questionnaire (published web form; consent obtained; analyzed in aggregate, de-identified). One dietitian authored two plans (the Southeast pair), the other three authored one each, totaling the five comparator plans. Values are reported in aggregate to avoid identifying any individual (n=4).</w:t>
      </w:r>
    </w:p>
    <w:tbl>
      <w:tblPr>
        <w:tblStyle w:val="TableGrid"/>
        <w:tblW w:type="auto" w:w="0"/>
        <w:tblLook w:firstColumn="1" w:firstRow="1" w:lastColumn="0" w:lastRow="0" w:noHBand="0" w:noVBand="1" w:val="04A0"/>
      </w:tblPr>
      <w:tblGrid>
        <w:gridCol w:w="4680"/>
        <w:gridCol w:w="4680"/>
      </w:tblGrid>
      <w:tr>
        <w:tc>
          <w:tcPr>
            <w:tcW w:type="dxa" w:w="4680"/>
          </w:tcPr>
          <w:p>
            <w:r>
              <w:rPr>
                <w:rFonts w:ascii="Times New Roman" w:hAnsi="Times New Roman"/>
                <w:b/>
                <w:sz w:val="18"/>
              </w:rPr>
              <w:t>Characteristic</w:t>
            </w:r>
          </w:p>
        </w:tc>
        <w:tc>
          <w:tcPr>
            <w:tcW w:type="dxa" w:w="4680"/>
          </w:tcPr>
          <w:p>
            <w:r>
              <w:rPr>
                <w:rFonts w:ascii="Times New Roman" w:hAnsi="Times New Roman"/>
                <w:b/>
                <w:sz w:val="18"/>
              </w:rPr>
              <w:t>Aggregate (n=4)</w:t>
            </w:r>
          </w:p>
        </w:tc>
      </w:tr>
      <w:tr>
        <w:tc>
          <w:tcPr>
            <w:tcW w:type="dxa" w:w="4680"/>
          </w:tcPr>
          <w:p>
            <w:r>
              <w:rPr>
                <w:rFonts w:ascii="Times New Roman" w:hAnsi="Times New Roman"/>
                <w:sz w:val="18"/>
              </w:rPr>
              <w:t>Active CRN registration</w:t>
            </w:r>
          </w:p>
        </w:tc>
        <w:tc>
          <w:tcPr>
            <w:tcW w:type="dxa" w:w="4680"/>
          </w:tcPr>
          <w:p>
            <w:r>
              <w:rPr>
                <w:rFonts w:ascii="Times New Roman" w:hAnsi="Times New Roman"/>
                <w:sz w:val="18"/>
              </w:rPr>
              <w:t>4/4</w:t>
            </w:r>
          </w:p>
        </w:tc>
      </w:tr>
      <w:tr>
        <w:tc>
          <w:tcPr>
            <w:tcW w:type="dxa" w:w="4680"/>
          </w:tcPr>
          <w:p>
            <w:r>
              <w:rPr>
                <w:rFonts w:ascii="Times New Roman" w:hAnsi="Times New Roman"/>
                <w:sz w:val="18"/>
              </w:rPr>
              <w:t>Highest degree</w:t>
            </w:r>
          </w:p>
        </w:tc>
        <w:tc>
          <w:tcPr>
            <w:tcW w:type="dxa" w:w="4680"/>
          </w:tcPr>
          <w:p>
            <w:r>
              <w:rPr>
                <w:rFonts w:ascii="Times New Roman" w:hAnsi="Times New Roman"/>
                <w:sz w:val="18"/>
              </w:rPr>
              <w:t>Postdoctorate 1, doctorate 1, master's 1, specialization/residency 1 (4/4 postgraduate; 3/4 master's or higher)</w:t>
            </w:r>
          </w:p>
        </w:tc>
      </w:tr>
      <w:tr>
        <w:tc>
          <w:tcPr>
            <w:tcW w:type="dxa" w:w="4680"/>
          </w:tcPr>
          <w:p>
            <w:r>
              <w:rPr>
                <w:rFonts w:ascii="Times New Roman" w:hAnsi="Times New Roman"/>
                <w:sz w:val="18"/>
              </w:rPr>
              <w:t>Time in practice</w:t>
            </w:r>
          </w:p>
        </w:tc>
        <w:tc>
          <w:tcPr>
            <w:tcW w:type="dxa" w:w="4680"/>
          </w:tcPr>
          <w:p>
            <w:r>
              <w:rPr>
                <w:rFonts w:ascii="Times New Roman" w:hAnsi="Times New Roman"/>
                <w:sz w:val="18"/>
              </w:rPr>
              <w:t>6–10 years (3), &gt;15 years (1); none under 6 years</w:t>
            </w:r>
          </w:p>
        </w:tc>
      </w:tr>
      <w:tr>
        <w:tc>
          <w:tcPr>
            <w:tcW w:type="dxa" w:w="4680"/>
          </w:tcPr>
          <w:p>
            <w:r>
              <w:rPr>
                <w:rFonts w:ascii="Times New Roman" w:hAnsi="Times New Roman"/>
                <w:sz w:val="18"/>
              </w:rPr>
              <w:t>Region of practice</w:t>
            </w:r>
          </w:p>
        </w:tc>
        <w:tc>
          <w:tcPr>
            <w:tcW w:type="dxa" w:w="4680"/>
          </w:tcPr>
          <w:p>
            <w:r>
              <w:rPr>
                <w:rFonts w:ascii="Times New Roman" w:hAnsi="Times New Roman"/>
                <w:sz w:val="18"/>
              </w:rPr>
              <w:t>South 1, Southeast 2, Northeast 1 (matched to persona region)</w:t>
            </w:r>
          </w:p>
        </w:tc>
      </w:tr>
      <w:tr>
        <w:tc>
          <w:tcPr>
            <w:tcW w:type="dxa" w:w="4680"/>
          </w:tcPr>
          <w:p>
            <w:r>
              <w:rPr>
                <w:rFonts w:ascii="Times New Roman" w:hAnsi="Times New Roman"/>
                <w:sz w:val="18"/>
              </w:rPr>
              <w:t>Main setting</w:t>
            </w:r>
          </w:p>
        </w:tc>
        <w:tc>
          <w:tcPr>
            <w:tcW w:type="dxa" w:w="4680"/>
          </w:tcPr>
          <w:p>
            <w:r>
              <w:rPr>
                <w:rFonts w:ascii="Times New Roman" w:hAnsi="Times New Roman"/>
                <w:sz w:val="18"/>
              </w:rPr>
              <w:t>Private practice 3, other 1</w:t>
            </w:r>
          </w:p>
        </w:tc>
      </w:tr>
      <w:tr>
        <w:tc>
          <w:tcPr>
            <w:tcW w:type="dxa" w:w="4680"/>
          </w:tcPr>
          <w:p>
            <w:r>
              <w:rPr>
                <w:rFonts w:ascii="Times New Roman" w:hAnsi="Times New Roman"/>
                <w:sz w:val="18"/>
              </w:rPr>
              <w:t>Care modality</w:t>
            </w:r>
          </w:p>
        </w:tc>
        <w:tc>
          <w:tcPr>
            <w:tcW w:type="dxa" w:w="4680"/>
          </w:tcPr>
          <w:p>
            <w:r>
              <w:rPr>
                <w:rFonts w:ascii="Times New Roman" w:hAnsi="Times New Roman"/>
                <w:sz w:val="18"/>
              </w:rPr>
              <w:t>Hybrid 3, online 1</w:t>
            </w:r>
          </w:p>
        </w:tc>
      </w:tr>
      <w:tr>
        <w:tc>
          <w:tcPr>
            <w:tcW w:type="dxa" w:w="4680"/>
          </w:tcPr>
          <w:p>
            <w:r>
              <w:rPr>
                <w:rFonts w:ascii="Times New Roman" w:hAnsi="Times New Roman"/>
                <w:sz w:val="18"/>
              </w:rPr>
              <w:t>Monthly meal-plan volume</w:t>
            </w:r>
          </w:p>
        </w:tc>
        <w:tc>
          <w:tcPr>
            <w:tcW w:type="dxa" w:w="4680"/>
          </w:tcPr>
          <w:p>
            <w:r>
              <w:rPr>
                <w:rFonts w:ascii="Times New Roman" w:hAnsi="Times New Roman"/>
                <w:sz w:val="18"/>
              </w:rPr>
              <w:t>0–5 (1), 6–15 (2), 16–30 (1)</w:t>
            </w:r>
          </w:p>
        </w:tc>
      </w:tr>
      <w:tr>
        <w:tc>
          <w:tcPr>
            <w:tcW w:type="dxa" w:w="4680"/>
          </w:tcPr>
          <w:p>
            <w:r>
              <w:rPr>
                <w:rFonts w:ascii="Times New Roman" w:hAnsi="Times New Roman"/>
                <w:sz w:val="18"/>
              </w:rPr>
              <w:t>Plan preparation</w:t>
            </w:r>
          </w:p>
        </w:tc>
        <w:tc>
          <w:tcPr>
            <w:tcW w:type="dxa" w:w="4680"/>
          </w:tcPr>
          <w:p>
            <w:r>
              <w:rPr>
                <w:rFonts w:ascii="Times New Roman" w:hAnsi="Times New Roman"/>
                <w:sz w:val="18"/>
              </w:rPr>
              <w:t>Commercial diet-prescription software 4/4</w:t>
            </w:r>
          </w:p>
        </w:tc>
      </w:tr>
      <w:tr>
        <w:tc>
          <w:tcPr>
            <w:tcW w:type="dxa" w:w="4680"/>
          </w:tcPr>
          <w:p>
            <w:r>
              <w:rPr>
                <w:rFonts w:ascii="Times New Roman" w:hAnsi="Times New Roman"/>
                <w:sz w:val="18"/>
              </w:rPr>
              <w:t>Time per plan</w:t>
            </w:r>
          </w:p>
        </w:tc>
        <w:tc>
          <w:tcPr>
            <w:tcW w:type="dxa" w:w="4680"/>
          </w:tcPr>
          <w:p>
            <w:r>
              <w:rPr>
                <w:rFonts w:ascii="Times New Roman" w:hAnsi="Times New Roman"/>
                <w:sz w:val="18"/>
              </w:rPr>
              <w:t>15–30 min (1), 31–60 min (1), 1–2 h (2)</w:t>
            </w:r>
          </w:p>
        </w:tc>
      </w:tr>
      <w:tr>
        <w:tc>
          <w:tcPr>
            <w:tcW w:type="dxa" w:w="4680"/>
          </w:tcPr>
          <w:p>
            <w:r>
              <w:rPr>
                <w:rFonts w:ascii="Times New Roman" w:hAnsi="Times New Roman"/>
                <w:sz w:val="18"/>
              </w:rPr>
              <w:t>Main practice areas</w:t>
            </w:r>
          </w:p>
        </w:tc>
        <w:tc>
          <w:tcPr>
            <w:tcW w:type="dxa" w:w="4680"/>
          </w:tcPr>
          <w:p>
            <w:r>
              <w:rPr>
                <w:rFonts w:ascii="Times New Roman" w:hAnsi="Times New Roman"/>
                <w:sz w:val="18"/>
              </w:rPr>
              <w:t>Clinical nutrition and eating behavior 4/4; weight/body composition 3; chronic disease 3</w:t>
            </w:r>
          </w:p>
        </w:tc>
      </w:tr>
      <w:tr>
        <w:tc>
          <w:tcPr>
            <w:tcW w:type="dxa" w:w="4680"/>
          </w:tcPr>
          <w:p>
            <w:r>
              <w:rPr>
                <w:rFonts w:ascii="Times New Roman" w:hAnsi="Times New Roman"/>
                <w:sz w:val="18"/>
              </w:rPr>
              <w:t>References routinely used</w:t>
            </w:r>
          </w:p>
        </w:tc>
        <w:tc>
          <w:tcPr>
            <w:tcW w:type="dxa" w:w="4680"/>
          </w:tcPr>
          <w:p>
            <w:r>
              <w:rPr>
                <w:rFonts w:ascii="Times New Roman" w:hAnsi="Times New Roman"/>
                <w:sz w:val="18"/>
              </w:rPr>
              <w:t>Brazilian Dietary Guidelines 4/4; DRI 4/4; scientific-society guidelines 4/4</w:t>
            </w:r>
          </w:p>
        </w:tc>
      </w:tr>
    </w:tbl>
    <w:p>
      <w:r>
        <w:rPr>
          <w:rFonts w:ascii="Times New Roman" w:hAnsi="Times New Roman"/>
          <w:sz w:val="22"/>
        </w:rPr>
        <w:t>Blinding of plan authors (methodological safeguard):</w:t>
      </w:r>
    </w:p>
    <w:p>
      <w:pPr>
        <w:pStyle w:val="ListBullet"/>
      </w:pPr>
      <w:r>
        <w:rPr>
          <w:rFonts w:ascii="Times New Roman" w:hAnsi="Times New Roman"/>
          <w:sz w:val="22"/>
        </w:rPr>
        <w:t>Aware that plans would be compared with AI-generated plans: No, 4/4.</w:t>
      </w:r>
    </w:p>
    <w:p>
      <w:pPr>
        <w:pStyle w:val="ListBullet"/>
      </w:pPr>
      <w:r>
        <w:rPr>
          <w:rFonts w:ascii="Times New Roman" w:hAnsi="Times New Roman"/>
          <w:sz w:val="22"/>
        </w:rPr>
        <w:t>Instructed to outperform AI or another method: No, 4/4 (one "do not remember"; none "yes").</w:t>
      </w:r>
    </w:p>
    <w:p>
      <w:r>
        <w:rPr>
          <w:rFonts w:ascii="Times New Roman" w:hAnsi="Times New Roman"/>
          <w:sz w:val="22"/>
        </w:rPr>
        <w:t>Interpretation. The human comparator was produced by qualified, experienced dietitians (all postgraduate-trained, all with at least six years of practice) working as in routine care, blinded to the AI comparison and without any instruction to compete. This supports the fairness of the comparator and removes a competition/performance bias. Commercial product names are not reported, by editorial decision; "commercial diet-prescription software" is used generically.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60"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Times New Roman" w:hAnsi="Times New Roman"/>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Times New Roman" w:hAnsi="Times New Roman"/>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Times New Roman" w:hAnsi="Times New Roman"/>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