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Times New Roman" w:hAnsi="Times New Roman"/>
          <w:b/>
          <w:sz w:val="28"/>
        </w:rPr>
        <w:t>STROBE / STROBE-NUT reporting checklist — item-to-location map</w:t>
      </w:r>
    </w:p>
    <w:p>
      <w:r>
        <w:rPr>
          <w:rFonts w:ascii="Times New Roman" w:hAnsi="Times New Roman"/>
          <w:sz w:val="22"/>
        </w:rPr>
        <w:t>Study type: observational, cross-sectional, blinded comparative evaluation of plan origin (AI-generated versus dietitian-designed). The exposure under study is plan origin, not measured dietary intake; STROBE is the primary standard, and STROBE-NUT extension items that concern dietary-intake assessment methods are marked Not applicable with the reason. Locations refer to the main manuscript sections and to the Online Resources.</w:t>
      </w:r>
    </w:p>
    <w:p>
      <w:pPr>
        <w:pStyle w:val="Heading1"/>
      </w:pPr>
      <w:r>
        <w:t>STROBE core items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</w:tcPr>
          <w:p>
            <w:r>
              <w:rPr>
                <w:rFonts w:ascii="Times New Roman" w:hAnsi="Times New Roman"/>
                <w:b/>
                <w:sz w:val="18"/>
              </w:rPr>
              <w:t>STROBE item</w:t>
            </w:r>
          </w:p>
        </w:tc>
        <w:tc>
          <w:tcPr>
            <w:tcW w:type="dxa" w:w="4680"/>
          </w:tcPr>
          <w:p>
            <w:r>
              <w:rPr>
                <w:rFonts w:ascii="Times New Roman" w:hAnsi="Times New Roman"/>
                <w:b/>
                <w:sz w:val="18"/>
              </w:rPr>
              <w:t>Where addressed</w:t>
            </w:r>
          </w:p>
        </w:tc>
      </w:tr>
      <w:tr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Title/abstract: design indicated; structured/informative summary</w:t>
            </w:r>
          </w:p>
        </w:tc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Title; Abstract</w:t>
            </w:r>
          </w:p>
        </w:tc>
      </w:tr>
      <w:tr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Background / rationale</w:t>
            </w:r>
          </w:p>
        </w:tc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Introduction</w:t>
            </w:r>
          </w:p>
        </w:tc>
      </w:tr>
      <w:tr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Objectives</w:t>
            </w:r>
          </w:p>
        </w:tc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Introduction (final paragraph)</w:t>
            </w:r>
          </w:p>
        </w:tc>
      </w:tr>
      <w:tr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Study design (key elements)</w:t>
            </w:r>
          </w:p>
        </w:tc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Methods — Study design and setting</w:t>
            </w:r>
          </w:p>
        </w:tc>
      </w:tr>
      <w:tr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Setting (locations, relevant dates)</w:t>
            </w:r>
          </w:p>
        </w:tc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Methods — Study design and setting; Participants (closed data set as of 5 June 2026)</w:t>
            </w:r>
          </w:p>
        </w:tc>
      </w:tr>
      <w:tr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Participants (eligibility, sources, selection)</w:t>
            </w:r>
          </w:p>
        </w:tc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Methods — Participants; Online Resource 2 (pre-assessment)</w:t>
            </w:r>
          </w:p>
        </w:tc>
      </w:tr>
      <w:tr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Variables (outcomes, exposure)</w:t>
            </w:r>
          </w:p>
        </w:tc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Methods — Assignment, blinding, and instrument; Statistical analysis (exposure = plan origin; outcome = nine-item ratings)</w:t>
            </w:r>
          </w:p>
        </w:tc>
      </w:tr>
      <w:tr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Data sources / measurement</w:t>
            </w:r>
          </w:p>
        </w:tc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Methods — Evaluated AI-assisted pipeline; Assignment, blinding, and instrument; Online Resources 1–2</w:t>
            </w:r>
          </w:p>
        </w:tc>
      </w:tr>
      <w:tr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Bias</w:t>
            </w:r>
          </w:p>
        </w:tc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Methods — Assignment, blinding, and instrument (blinding, balanced assignment); Discussion (construct overlap, developer/social-desirability bias, evaluator-mode bias)</w:t>
            </w:r>
          </w:p>
        </w:tc>
      </w:tr>
      <w:tr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Study size</w:t>
            </w:r>
          </w:p>
        </w:tc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Methods — Participants (closed convenience sample); Discussion (limitations)</w:t>
            </w:r>
          </w:p>
        </w:tc>
      </w:tr>
      <w:tr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Quantitative variables (handling)</w:t>
            </w:r>
          </w:p>
        </w:tc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Methods — Statistical analysis (≥120 s data-quality rule; item handling)</w:t>
            </w:r>
          </w:p>
        </w:tc>
      </w:tr>
      <w:tr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Statistical methods</w:t>
            </w:r>
          </w:p>
        </w:tc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Methods — Statistical analysis (within-evaluator lead; plan-level; evaluation-level; mixed-effects; sensitivity)</w:t>
            </w:r>
          </w:p>
        </w:tc>
      </w:tr>
      <w:tr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Participants (numbers, flow)</w:t>
            </w:r>
          </w:p>
        </w:tc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Results — Evaluators and corpus (251 fetched → 130 valid; 54 evaluators); Online Resource 3 (funnel)</w:t>
            </w:r>
          </w:p>
        </w:tc>
      </w:tr>
      <w:tr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Descriptive data</w:t>
            </w:r>
          </w:p>
        </w:tc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Results; Table 2</w:t>
            </w:r>
          </w:p>
        </w:tc>
      </w:tr>
      <w:tr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Outcome data</w:t>
            </w:r>
          </w:p>
        </w:tc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Results; Tables 4–5</w:t>
            </w:r>
          </w:p>
        </w:tc>
      </w:tr>
      <w:tr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Main results (estimates, 95% CIs, effect sizes)</w:t>
            </w:r>
          </w:p>
        </w:tc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Results — Primary and domain-level outcomes</w:t>
            </w:r>
          </w:p>
        </w:tc>
      </w:tr>
      <w:tr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Other analyses (subgroups, sensitivity, interactions)</w:t>
            </w:r>
          </w:p>
        </w:tc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Results — Item-level pattern, reliability, and sensitivity; Table 5</w:t>
            </w:r>
          </w:p>
        </w:tc>
      </w:tr>
      <w:tr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Key results</w:t>
            </w:r>
          </w:p>
        </w:tc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Discussion (first paragraph)</w:t>
            </w:r>
          </w:p>
        </w:tc>
      </w:tr>
      <w:tr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Limitations</w:t>
            </w:r>
          </w:p>
        </w:tc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Discussion (limitations paragraph)</w:t>
            </w:r>
          </w:p>
        </w:tc>
      </w:tr>
      <w:tr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Interpretation</w:t>
            </w:r>
          </w:p>
        </w:tc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Discussion</w:t>
            </w:r>
          </w:p>
        </w:tc>
      </w:tr>
      <w:tr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Generalizability</w:t>
            </w:r>
          </w:p>
        </w:tc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Discussion (healthy-adult scope)</w:t>
            </w:r>
          </w:p>
        </w:tc>
      </w:tr>
      <w:tr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Funding</w:t>
            </w:r>
          </w:p>
        </w:tc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Statements and Declarations — Funding</w:t>
            </w:r>
          </w:p>
        </w:tc>
      </w:tr>
    </w:tbl>
    <w:p>
      <w:pPr>
        <w:pStyle w:val="Heading1"/>
      </w:pPr>
      <w:r>
        <w:t>STROBE-NUT extension items (nutritional epidemiology)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</w:tcPr>
          <w:p>
            <w:r>
              <w:rPr>
                <w:rFonts w:ascii="Times New Roman" w:hAnsi="Times New Roman"/>
                <w:b/>
                <w:sz w:val="18"/>
              </w:rPr>
              <w:t>STROBE-NUT item (abbreviated)</w:t>
            </w:r>
          </w:p>
        </w:tc>
        <w:tc>
          <w:tcPr>
            <w:tcW w:type="dxa" w:w="4680"/>
          </w:tcPr>
          <w:p>
            <w:r>
              <w:rPr>
                <w:rFonts w:ascii="Times New Roman" w:hAnsi="Times New Roman"/>
                <w:b/>
                <w:sz w:val="18"/>
              </w:rPr>
              <w:t>Status / location</w:t>
            </w:r>
          </w:p>
        </w:tc>
      </w:tr>
      <w:tr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Definition and rationale of the nutritional context</w:t>
            </w:r>
          </w:p>
        </w:tc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Addressed — meal-plan quality across nutritional adequacy, technical quality, and practical applicability. Introduction; Methods (instrument), Online Resource 2</w:t>
            </w:r>
          </w:p>
        </w:tc>
      </w:tr>
      <w:tr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Dietary assessment method (instrument, reference period, validation)</w:t>
            </w:r>
          </w:p>
        </w:tc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Not applicable — the study evaluates the quality of complete meal plans by blinded professional rating, and does not measure participants' dietary intake; the rating instrument and its grounding are reported in Methods and Online Resource 2</w:t>
            </w:r>
          </w:p>
        </w:tc>
      </w:tr>
      <w:tr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Energy/nutrient derivation and food-composition source</w:t>
            </w:r>
          </w:p>
        </w:tc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Addressed — quantities computed deterministically from the Brazilian Food Composition Table (TBCA v7.3, 2025). Methods (Evaluated AI-assisted pipeline); Online Resource 1</w:t>
            </w:r>
          </w:p>
        </w:tc>
      </w:tr>
      <w:tr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Handling of dietary misreporting / plausibility</w:t>
            </w:r>
          </w:p>
        </w:tc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Adapted — implausibly fast evaluations (&lt;120 s) excluded; preserved plan discrepancies reported transparently. Methods (Statistical analysis); Results</w:t>
            </w:r>
          </w:p>
        </w:tc>
      </w:tr>
      <w:tr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Food-grouping / classification systems</w:t>
            </w:r>
          </w:p>
        </w:tc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Addressed — food-group variety item and TBCA-anchored selection. Online Resource 2; Methods</w:t>
            </w:r>
          </w:p>
        </w:tc>
      </w:tr>
      <w:tr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Sources of bias specific to nutrition</w:t>
            </w:r>
          </w:p>
        </w:tc>
        <w:tc>
          <w:tcPr>
            <w:tcW w:type="dxa" w:w="4680"/>
          </w:tcPr>
          <w:p>
            <w:r>
              <w:rPr>
                <w:rFonts w:ascii="Times New Roman" w:hAnsi="Times New Roman"/>
                <w:sz w:val="18"/>
              </w:rPr>
              <w:t>Addressed — construct overlap between target alignment and nutritional-adequacy items, tested by caloric-error sensitivity analysis. Discussion; Results</w:t>
            </w:r>
          </w:p>
        </w:tc>
      </w:tr>
    </w:tbl>
    <w:p>
      <w:pPr>
        <w:pStyle w:val="Heading1"/>
      </w:pPr>
      <w:r>
        <w:t>Notes</w:t>
      </w:r>
    </w:p>
    <w:p>
      <w:pPr>
        <w:pStyle w:val="ListBullet"/>
      </w:pPr>
      <w:r>
        <w:rPr>
          <w:rFonts w:ascii="Times New Roman" w:hAnsi="Times New Roman"/>
          <w:sz w:val="22"/>
        </w:rPr>
        <w:t>A full CHERRIES checklist (web-survey reporting) is provided in Online Resource 3.</w:t>
      </w:r>
    </w:p>
    <w:p>
      <w:pPr>
        <w:pStyle w:val="ListBullet"/>
      </w:pPr>
      <w:r>
        <w:rPr>
          <w:rFonts w:ascii="Times New Roman" w:hAnsi="Times New Roman"/>
          <w:sz w:val="22"/>
        </w:rPr>
        <w:t>AI-specific transparency (model identity/versions, roles, validation, reproducibility) is provided in Online Resource 1, consistent with DECIDE-AI and TRIPOD-LLM principles referenced in the Methods.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6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