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B9DFB" w14:textId="77777777" w:rsidR="005B7C29" w:rsidRDefault="005B7C29" w:rsidP="005B7C29">
      <w:pPr>
        <w:spacing w:after="300"/>
      </w:pPr>
      <w:r>
        <w:rPr>
          <w:rFonts w:eastAsia="Times New Roman"/>
          <w:b/>
          <w:bCs/>
          <w:sz w:val="30"/>
          <w:szCs w:val="30"/>
        </w:rPr>
        <w:t>East Asian-Specific Variants in LINC00251 and DEK in Suicidal and Non-Suicidal Major Depressive Disorder: A Discovery GWAS</w:t>
      </w:r>
    </w:p>
    <w:p w14:paraId="00D86A73" w14:textId="77777777" w:rsidR="005B7C29" w:rsidRDefault="005B7C29" w:rsidP="005B7C29">
      <w:pPr>
        <w:spacing w:after="200"/>
      </w:pPr>
      <w:r>
        <w:rPr>
          <w:rFonts w:eastAsia="Times New Roman"/>
          <w:sz w:val="22"/>
          <w:szCs w:val="22"/>
        </w:rPr>
        <w:t>Yu-Tien Chang</w:t>
      </w:r>
      <w:r w:rsidRPr="007328ED">
        <w:rPr>
          <w:rFonts w:eastAsia="Times New Roman"/>
          <w:sz w:val="22"/>
          <w:szCs w:val="22"/>
          <w:vertAlign w:val="superscript"/>
        </w:rPr>
        <w:t>1</w:t>
      </w:r>
      <w:r>
        <w:rPr>
          <w:rFonts w:eastAsia="Times New Roman"/>
          <w:sz w:val="22"/>
          <w:szCs w:val="22"/>
        </w:rPr>
        <w:t>, Chih-Chung Huang</w:t>
      </w:r>
      <w:r w:rsidRPr="007328ED">
        <w:rPr>
          <w:rFonts w:eastAsia="Times New Roman"/>
          <w:sz w:val="22"/>
          <w:szCs w:val="22"/>
          <w:vertAlign w:val="superscript"/>
        </w:rPr>
        <w:t>2</w:t>
      </w:r>
      <w:r>
        <w:rPr>
          <w:rFonts w:eastAsia="Times New Roman"/>
          <w:sz w:val="22"/>
          <w:szCs w:val="22"/>
        </w:rPr>
        <w:t>, Kuo-Sheng Hung</w:t>
      </w:r>
      <w:r w:rsidRPr="007328ED">
        <w:rPr>
          <w:rFonts w:eastAsia="Times New Roman"/>
          <w:sz w:val="22"/>
          <w:szCs w:val="22"/>
          <w:vertAlign w:val="superscript"/>
        </w:rPr>
        <w:t>3</w:t>
      </w:r>
      <w:r>
        <w:rPr>
          <w:rFonts w:eastAsia="Times New Roman"/>
          <w:sz w:val="22"/>
          <w:szCs w:val="22"/>
        </w:rPr>
        <w:t>, Yu-Lung Chiu</w:t>
      </w:r>
      <w:r w:rsidRPr="007328ED">
        <w:rPr>
          <w:rFonts w:eastAsia="Times New Roman"/>
          <w:sz w:val="22"/>
          <w:szCs w:val="22"/>
          <w:vertAlign w:val="superscript"/>
        </w:rPr>
        <w:t>1</w:t>
      </w:r>
      <w:r>
        <w:rPr>
          <w:rFonts w:eastAsia="Times New Roman"/>
          <w:sz w:val="22"/>
          <w:szCs w:val="22"/>
        </w:rPr>
        <w:t>, Ya-Ting Yang</w:t>
      </w:r>
      <w:r w:rsidRPr="007328ED">
        <w:rPr>
          <w:rFonts w:eastAsia="Times New Roman"/>
          <w:sz w:val="22"/>
          <w:szCs w:val="22"/>
          <w:vertAlign w:val="superscript"/>
        </w:rPr>
        <w:t>1</w:t>
      </w:r>
      <w:r>
        <w:rPr>
          <w:rFonts w:eastAsia="Times New Roman"/>
          <w:sz w:val="22"/>
          <w:szCs w:val="22"/>
        </w:rPr>
        <w:t>, Su-Wen Chuang</w:t>
      </w:r>
      <w:r w:rsidRPr="007328ED">
        <w:rPr>
          <w:rFonts w:eastAsia="Times New Roman"/>
          <w:sz w:val="22"/>
          <w:szCs w:val="22"/>
          <w:vertAlign w:val="superscript"/>
        </w:rPr>
        <w:t>1</w:t>
      </w:r>
      <w:r>
        <w:rPr>
          <w:rFonts w:eastAsia="Times New Roman"/>
          <w:sz w:val="22"/>
          <w:szCs w:val="22"/>
        </w:rPr>
        <w:t>, Chia-Chao Wu</w:t>
      </w:r>
      <w:r w:rsidRPr="007328ED">
        <w:rPr>
          <w:rFonts w:eastAsia="Times New Roman"/>
          <w:sz w:val="22"/>
          <w:szCs w:val="22"/>
          <w:vertAlign w:val="superscript"/>
        </w:rPr>
        <w:t>4</w:t>
      </w:r>
      <w:r>
        <w:rPr>
          <w:rFonts w:eastAsia="Times New Roman"/>
          <w:sz w:val="22"/>
          <w:szCs w:val="22"/>
        </w:rPr>
        <w:t>, Chia-Jung Hsu</w:t>
      </w:r>
      <w:r w:rsidRPr="007328ED">
        <w:rPr>
          <w:rFonts w:eastAsia="Times New Roman"/>
          <w:sz w:val="22"/>
          <w:szCs w:val="22"/>
          <w:vertAlign w:val="superscript"/>
        </w:rPr>
        <w:t>5</w:t>
      </w:r>
      <w:r>
        <w:rPr>
          <w:rFonts w:eastAsia="Times New Roman"/>
          <w:sz w:val="22"/>
          <w:szCs w:val="22"/>
        </w:rPr>
        <w:t>, Chih-Hsiung Hsu</w:t>
      </w:r>
      <w:r w:rsidRPr="007328ED">
        <w:rPr>
          <w:rFonts w:eastAsia="Times New Roman"/>
          <w:sz w:val="22"/>
          <w:szCs w:val="22"/>
          <w:vertAlign w:val="superscript"/>
        </w:rPr>
        <w:t>6</w:t>
      </w:r>
      <w:r>
        <w:rPr>
          <w:rFonts w:eastAsia="Times New Roman"/>
          <w:sz w:val="22"/>
          <w:szCs w:val="22"/>
        </w:rPr>
        <w:t>, Chien-Ho Lin</w:t>
      </w:r>
      <w:r w:rsidRPr="007328ED">
        <w:rPr>
          <w:rFonts w:eastAsia="Times New Roman"/>
          <w:sz w:val="22"/>
          <w:szCs w:val="22"/>
          <w:vertAlign w:val="superscript"/>
        </w:rPr>
        <w:t>7</w:t>
      </w:r>
      <w:r>
        <w:rPr>
          <w:rFonts w:eastAsia="Times New Roman"/>
          <w:sz w:val="22"/>
          <w:szCs w:val="22"/>
        </w:rPr>
        <w:t>*, Hsin-An Chang</w:t>
      </w:r>
      <w:r w:rsidRPr="007328ED">
        <w:rPr>
          <w:rFonts w:eastAsia="Times New Roman"/>
          <w:sz w:val="22"/>
          <w:szCs w:val="22"/>
          <w:vertAlign w:val="superscript"/>
        </w:rPr>
        <w:t>2,8</w:t>
      </w:r>
      <w:r>
        <w:rPr>
          <w:rFonts w:eastAsia="Times New Roman"/>
          <w:sz w:val="22"/>
          <w:szCs w:val="22"/>
        </w:rPr>
        <w:t>*</w:t>
      </w:r>
    </w:p>
    <w:p w14:paraId="09785D1A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1 College of Public Health, National Defense Medical University, Taipei City, Taiwan</w:t>
      </w:r>
    </w:p>
    <w:p w14:paraId="69985F13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2 Department of Psychiatry, Tri-Service General Hospital, National Defense Medical University, Taipei City, Taiwan</w:t>
      </w:r>
    </w:p>
    <w:p w14:paraId="15843CD3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3 Center for Precision Medicine and Genomics, Tri-Service General Hospital, National Defense Medical University, Taipei City, Taiwan</w:t>
      </w:r>
    </w:p>
    <w:p w14:paraId="0D1E2F71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4 Division of Nephrology, Department of Medicine, Tri-Service General Hospital, National Defense Medical University, Taipei City, Taiwan</w:t>
      </w:r>
    </w:p>
    <w:p w14:paraId="5A0EABC9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5 Information Management Center, Tri-Service General Hospital, National Defense Medical University, Taipei City, Taiwan</w:t>
      </w:r>
    </w:p>
    <w:p w14:paraId="7FE11E86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6 Administration Office, Taoyuan Armed Forces General Hospital Hsinchu Branch, Hsinchu City, Taiwan</w:t>
      </w:r>
    </w:p>
    <w:p w14:paraId="7A5CF915" w14:textId="77777777" w:rsidR="005B7C29" w:rsidRDefault="005B7C29" w:rsidP="005B7C29">
      <w:pPr>
        <w:spacing w:after="60"/>
      </w:pPr>
      <w:r>
        <w:rPr>
          <w:rFonts w:eastAsia="Times New Roman"/>
          <w:sz w:val="20"/>
          <w:szCs w:val="20"/>
        </w:rPr>
        <w:t>7 Department of Psychiatry, Chi Mei Medical Center, Tainan, Taiwan</w:t>
      </w:r>
    </w:p>
    <w:p w14:paraId="5BCC84F3" w14:textId="77777777" w:rsidR="005B7C29" w:rsidRDefault="005B7C29" w:rsidP="005B7C29">
      <w:pPr>
        <w:spacing w:after="200"/>
      </w:pPr>
      <w:r>
        <w:rPr>
          <w:rFonts w:eastAsia="Times New Roman"/>
          <w:sz w:val="20"/>
          <w:szCs w:val="20"/>
        </w:rPr>
        <w:t>8 Department of Psychiatry, School of Medicine, College of Medicine, National Defense Medical University, Taipei City, Taiwan</w:t>
      </w:r>
    </w:p>
    <w:p w14:paraId="501554E3" w14:textId="77777777" w:rsidR="005B7C29" w:rsidRDefault="005B7C29" w:rsidP="005B7C29">
      <w:pPr>
        <w:spacing w:after="60"/>
      </w:pPr>
      <w:r>
        <w:rPr>
          <w:rFonts w:eastAsia="Times New Roman"/>
          <w:b/>
          <w:bCs/>
          <w:sz w:val="20"/>
          <w:szCs w:val="20"/>
        </w:rPr>
        <w:t>*Corresponding authors (equal contribution):</w:t>
      </w:r>
    </w:p>
    <w:p w14:paraId="5D6676E8" w14:textId="77777777" w:rsidR="005B7C29" w:rsidRDefault="005B7C29" w:rsidP="005B7C29">
      <w:pPr>
        <w:spacing w:after="20"/>
      </w:pPr>
      <w:r>
        <w:rPr>
          <w:rFonts w:eastAsia="Times New Roman"/>
          <w:sz w:val="20"/>
          <w:szCs w:val="20"/>
        </w:rPr>
        <w:t xml:space="preserve">Chien-Ho Lin, M.D. — Department of Psychiatry, Chi Mei Medical Center, Tainan, Taiwan. Email: </w:t>
      </w:r>
      <w:hyperlink r:id="rId6" w:history="1">
        <w:r w:rsidRPr="00B54A5E">
          <w:rPr>
            <w:rStyle w:val="af2"/>
            <w:rFonts w:eastAsia="Times New Roman"/>
            <w:sz w:val="20"/>
            <w:szCs w:val="20"/>
          </w:rPr>
          <w:t>alholin@gmail.com</w:t>
        </w:r>
      </w:hyperlink>
      <w:r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3EEC9872" w14:textId="77777777" w:rsidR="005B7C29" w:rsidRDefault="005B7C29" w:rsidP="005B7C29">
      <w:pPr>
        <w:spacing w:after="3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Hsin-An Chang, M.D. — Department of Psychiatry, Tri-Service General Hospital, No. 325, Cheng-Kung Road, Sec. 2, Nei-Hu District, Taipei, 114, Taiwan. Email: </w:t>
      </w:r>
      <w:hyperlink r:id="rId7" w:history="1">
        <w:r w:rsidRPr="00452EAE">
          <w:rPr>
            <w:rStyle w:val="af2"/>
            <w:rFonts w:eastAsia="Times New Roman"/>
            <w:sz w:val="20"/>
            <w:szCs w:val="20"/>
          </w:rPr>
          <w:t>chang.ha@mail.ndmutsgh.edu.tw</w:t>
        </w:r>
      </w:hyperlink>
    </w:p>
    <w:p w14:paraId="15A1120D" w14:textId="77777777" w:rsidR="005B7C29" w:rsidRDefault="005B7C29" w:rsidP="005B7C29">
      <w:pPr>
        <w:widowControl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br w:type="page"/>
      </w:r>
    </w:p>
    <w:p w14:paraId="7744F808" w14:textId="77777777" w:rsidR="00286F85" w:rsidRDefault="00286F85" w:rsidP="00286F85">
      <w:pPr>
        <w:pStyle w:val="1"/>
        <w:spacing w:before="320" w:after="160"/>
      </w:pPr>
      <w:r>
        <w:rPr>
          <w:rFonts w:eastAsia="Times New Roman"/>
          <w:b/>
          <w:bCs/>
          <w:sz w:val="28"/>
          <w:szCs w:val="28"/>
        </w:rPr>
        <w:lastRenderedPageBreak/>
        <w:t>Supplementary Materials</w:t>
      </w:r>
    </w:p>
    <w:p w14:paraId="2BEC49E9" w14:textId="77777777" w:rsidR="00286F85" w:rsidRDefault="00286F85" w:rsidP="00286F85">
      <w:pPr>
        <w:pStyle w:val="2"/>
        <w:spacing w:before="240" w:after="120"/>
      </w:pPr>
      <w:r>
        <w:rPr>
          <w:rFonts w:eastAsia="Times New Roman"/>
          <w:b/>
          <w:bCs/>
          <w:i/>
          <w:iCs/>
          <w:sz w:val="24"/>
          <w:szCs w:val="24"/>
        </w:rPr>
        <w:t>Supplementary Figures</w:t>
      </w:r>
    </w:p>
    <w:p w14:paraId="22DC44FD" w14:textId="77777777" w:rsidR="00286F85" w:rsidRDefault="00286F85" w:rsidP="00286F85">
      <w:pPr>
        <w:spacing w:before="120" w:after="120"/>
        <w:jc w:val="center"/>
      </w:pPr>
      <w:r>
        <w:rPr>
          <w:noProof/>
        </w:rPr>
        <w:drawing>
          <wp:inline distT="0" distB="0" distL="0" distR="0" wp14:anchorId="1F93197E" wp14:editId="6945A7B3">
            <wp:extent cx="5669280" cy="3030132"/>
            <wp:effectExtent l="0" t="0" r="0" b="0"/>
            <wp:docPr id="7" name="unpacked/word/media/image8.png" descr="unpacked/word/media/image8.png" title="unpacked/word/media/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303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F737A" w14:textId="77777777" w:rsidR="00286F85" w:rsidRDefault="00286F85" w:rsidP="00286F85">
      <w:pPr>
        <w:spacing w:before="80" w:after="300"/>
        <w:jc w:val="both"/>
      </w:pPr>
      <w:r>
        <w:rPr>
          <w:rFonts w:eastAsia="Times New Roman"/>
          <w:sz w:val="20"/>
          <w:szCs w:val="20"/>
        </w:rPr>
        <w:t>Figure S1. Principal component analysis of genotyping data stratified by suicide status. PCA was performed using genome-wide genotyping data to evaluate potential population structure among study participants. The suicide and non-suicide groups showed broadly comparable clustering across PC1, PC2, and PC3, supporting the absence of marked ancestry-related separation between groups. Minor dispersed points were observed but did not indicate a distinct subgroup pattern.</w:t>
      </w:r>
    </w:p>
    <w:p w14:paraId="3E0DF9CB" w14:textId="77777777" w:rsidR="00286F85" w:rsidRDefault="00286F85" w:rsidP="00286F85">
      <w:pPr>
        <w:spacing w:before="120" w:after="120"/>
        <w:jc w:val="center"/>
      </w:pPr>
      <w:r>
        <w:rPr>
          <w:noProof/>
        </w:rPr>
        <w:drawing>
          <wp:inline distT="0" distB="0" distL="0" distR="0" wp14:anchorId="303F6F52" wp14:editId="0C9E68D8">
            <wp:extent cx="5486400" cy="3165231"/>
            <wp:effectExtent l="0" t="0" r="0" b="0"/>
            <wp:docPr id="8" name="unpacked/word/media/image7.jpg" descr="unpacked/word/media/image7.jpg" title="unpacked/word/media/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65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4BEEF" w14:textId="77777777" w:rsidR="00286F85" w:rsidRDefault="00286F85" w:rsidP="00286F85">
      <w:pPr>
        <w:spacing w:before="80" w:after="300"/>
        <w:jc w:val="both"/>
      </w:pPr>
      <w:r>
        <w:rPr>
          <w:rFonts w:eastAsia="Times New Roman"/>
          <w:sz w:val="20"/>
          <w:szCs w:val="20"/>
        </w:rPr>
        <w:t xml:space="preserve">Figure S2. Expression of DEK splice junction 6 across tissues from GTEx. Heatmap of RNA-seq </w:t>
      </w:r>
      <w:r>
        <w:rPr>
          <w:rFonts w:eastAsia="Times New Roman"/>
          <w:sz w:val="20"/>
          <w:szCs w:val="20"/>
        </w:rPr>
        <w:lastRenderedPageBreak/>
        <w:t>junction-level read counts across 50+ tissues (GTEx v8). Junction 6 (red dashed box) — the region overlapping rs184634961 — exhibits high expression across virtually all tissues (&gt;51 read counts), with particularly elevated levels in the cerebral hemisphere (&gt;7.2 × 10² read counts). Five transcript isoforms share this junction region (labelled in red).</w:t>
      </w:r>
    </w:p>
    <w:p w14:paraId="378D96AA" w14:textId="77777777" w:rsidR="00286F85" w:rsidRDefault="00286F85" w:rsidP="00286F85">
      <w:pPr>
        <w:pStyle w:val="2"/>
        <w:spacing w:before="240" w:after="120"/>
      </w:pPr>
      <w:r>
        <w:rPr>
          <w:rFonts w:eastAsia="Times New Roman"/>
          <w:b/>
          <w:bCs/>
          <w:i/>
          <w:iCs/>
          <w:sz w:val="24"/>
          <w:szCs w:val="24"/>
        </w:rPr>
        <w:t>Supplementary Tables</w:t>
      </w:r>
    </w:p>
    <w:p w14:paraId="4DD9C84E" w14:textId="77777777" w:rsidR="00286F85" w:rsidRDefault="00286F85" w:rsidP="00286F85">
      <w:pPr>
        <w:spacing w:before="240" w:after="100"/>
      </w:pPr>
      <w:r>
        <w:rPr>
          <w:rFonts w:eastAsia="Times New Roman"/>
          <w:b/>
          <w:bCs/>
          <w:sz w:val="22"/>
          <w:szCs w:val="22"/>
        </w:rPr>
        <w:t>Table S1. Full phenome-wide association study (PheWAS) results for rs184634961 and rs78287434.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827"/>
        <w:gridCol w:w="931"/>
        <w:gridCol w:w="833"/>
        <w:gridCol w:w="1300"/>
        <w:gridCol w:w="980"/>
        <w:gridCol w:w="842"/>
        <w:gridCol w:w="879"/>
        <w:gridCol w:w="795"/>
        <w:gridCol w:w="833"/>
      </w:tblGrid>
      <w:tr w:rsidR="00286F85" w14:paraId="1BDFAC6B" w14:textId="77777777" w:rsidTr="00ED73C2">
        <w:trPr>
          <w:tblHeader/>
        </w:trPr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E63C4B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Variant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3C890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atlas ID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20272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PMID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4A9DA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64F341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Domain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4BD2E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Trait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6A933B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F32A6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6D993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EA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B5E359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NEA</w:t>
            </w:r>
          </w:p>
        </w:tc>
      </w:tr>
      <w:tr w:rsidR="00286F85" w14:paraId="674E22B7" w14:textId="77777777" w:rsidTr="00ED73C2"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64B9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rs184634961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F3EC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4166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7CDB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30108127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C415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2BE14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Metabolic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2F68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Body Mass Index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99800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0.002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91FD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334487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7BE98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T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47A33C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A</w:t>
            </w:r>
          </w:p>
        </w:tc>
      </w:tr>
      <w:tr w:rsidR="00286F85" w14:paraId="378F69D5" w14:textId="77777777" w:rsidTr="00ED73C2"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6B23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rs184634961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03C8E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3896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5FD31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27863252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34DA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740E8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Immunological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1EF6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Neutrophil percentage of white cells (three-way meta)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B1F3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0.002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922B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171542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74FCD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A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415A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T</w:t>
            </w:r>
          </w:p>
        </w:tc>
      </w:tr>
      <w:tr w:rsidR="00286F85" w14:paraId="6CA1B0E1" w14:textId="77777777" w:rsidTr="00ED73C2"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BD2C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rs78287434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31807E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1002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B5311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27989323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E7F3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3BBE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Immunological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D1D2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Monokine induced by interferon-gamma (CXCL9)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3775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0.001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73F1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3685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DB5AEC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G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BF137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T</w:t>
            </w:r>
          </w:p>
        </w:tc>
      </w:tr>
      <w:tr w:rsidR="00286F85" w14:paraId="3BA088B0" w14:textId="77777777" w:rsidTr="00ED73C2"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BA924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rs78287434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4983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4197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30D439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31217584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4A387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42791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Metabolic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4E87F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Waist-hip ratio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3FC7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0.002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B8DE88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33904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DF2ED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T</w:t>
            </w:r>
          </w:p>
        </w:tc>
        <w:tc>
          <w:tcPr>
            <w:tcW w:w="93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D610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G</w:t>
            </w:r>
          </w:p>
        </w:tc>
      </w:tr>
    </w:tbl>
    <w:p w14:paraId="18A8896D" w14:textId="77777777" w:rsidR="00286F85" w:rsidRDefault="00286F85" w:rsidP="00286F85">
      <w:pPr>
        <w:spacing w:before="80" w:after="240"/>
      </w:pPr>
      <w:r>
        <w:rPr>
          <w:rFonts w:eastAsia="Times New Roman"/>
          <w:i/>
          <w:iCs/>
          <w:sz w:val="16"/>
          <w:szCs w:val="16"/>
        </w:rPr>
        <w:t>EA = Effect Allele. NEA = Non-Effect Allele.</w:t>
      </w:r>
    </w:p>
    <w:p w14:paraId="14ACEB00" w14:textId="77777777" w:rsidR="00286F85" w:rsidRDefault="00286F85" w:rsidP="00286F85">
      <w:pPr>
        <w:spacing w:before="240" w:after="100"/>
      </w:pPr>
      <w:r>
        <w:rPr>
          <w:rFonts w:eastAsia="Times New Roman"/>
          <w:b/>
          <w:bCs/>
          <w:sz w:val="22"/>
          <w:szCs w:val="22"/>
        </w:rPr>
        <w:t>Table S2. Predicted LINC00251 interaction partners from LncRRIsearch.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286F85" w14:paraId="101E182D" w14:textId="77777777" w:rsidTr="00ED73C2">
        <w:trPr>
          <w:tblHeader/>
        </w:trPr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00EA7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Rank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F0A97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Target Gene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6083C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6EDA5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Sum Energy (kcal/mol)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7928D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Min Energy (kcal/mol)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E3397" w14:textId="77777777" w:rsidR="00286F85" w:rsidRDefault="00286F85" w:rsidP="00ED73C2">
            <w:r>
              <w:rPr>
                <w:rFonts w:eastAsia="Times New Roman"/>
                <w:b/>
                <w:bCs/>
                <w:sz w:val="18"/>
                <w:szCs w:val="18"/>
              </w:rPr>
              <w:t>MDD/Suicidality Relevance</w:t>
            </w:r>
          </w:p>
        </w:tc>
      </w:tr>
      <w:tr w:rsidR="00286F85" w14:paraId="46EBBB75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23489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662D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HRG-AS1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A50FC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HRG And FETUB Antisense RNA 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1919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−785.93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B109D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−21.35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9512C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  <w:tr w:rsidR="00286F85" w14:paraId="32EC27E7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3535D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220B2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RPGR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28E0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Retinitis Pigmentosa GTPase Regulator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F07C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−640.13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AD694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−23.61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6D1D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  <w:tr w:rsidR="00286F85" w14:paraId="58302E3F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38EC1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840AD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FAM98B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6206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Family With Sequence Similarity 98 Member B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75536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−578.31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D5D61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−27.54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4063E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  <w:tr w:rsidR="00286F85" w14:paraId="11F04961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B09C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39898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SNX8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1F5FB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Sorting Nexin 8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6743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−484.63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C4B67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−24.56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981F2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  <w:tr w:rsidR="00286F85" w14:paraId="5FC61C63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BCDC7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22654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UCN3 ★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9558F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Urocortin 3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26CF8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−237.79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B4840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−25.16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F972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HPA axis, MDD biomarker (Waters et al. 2015)</w:t>
            </w:r>
          </w:p>
        </w:tc>
      </w:tr>
      <w:tr w:rsidR="00286F85" w14:paraId="20016D5A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BF9C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EA0BC6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EMC10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2ABE2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ER Membrane Protein Complex Subunit 10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8C7CF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−224.31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B60759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−22.25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4AF30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  <w:tr w:rsidR="00286F85" w14:paraId="5EB10F17" w14:textId="77777777" w:rsidTr="00ED73C2"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CCFEA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13A05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CCDC85C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BAEF4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 xml:space="preserve">Coiled-Coil Domain </w:t>
            </w:r>
            <w:r>
              <w:rPr>
                <w:rFonts w:eastAsia="Times New Roman"/>
                <w:sz w:val="18"/>
                <w:szCs w:val="18"/>
              </w:rPr>
              <w:lastRenderedPageBreak/>
              <w:t>Containing 85C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E39803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lastRenderedPageBreak/>
              <w:t>−205.09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B8EF9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−22.17</w:t>
            </w:r>
          </w:p>
        </w:tc>
        <w:tc>
          <w:tcPr>
            <w:tcW w:w="15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89ECD" w14:textId="77777777" w:rsidR="00286F85" w:rsidRDefault="00286F85" w:rsidP="00ED73C2">
            <w:r>
              <w:rPr>
                <w:rFonts w:eastAsia="Times New Roman"/>
                <w:sz w:val="18"/>
                <w:szCs w:val="18"/>
              </w:rPr>
              <w:t>No published link</w:t>
            </w:r>
          </w:p>
        </w:tc>
      </w:tr>
    </w:tbl>
    <w:p w14:paraId="499CCDE1" w14:textId="77777777" w:rsidR="00286F85" w:rsidRDefault="00286F85" w:rsidP="00286F85">
      <w:pPr>
        <w:spacing w:before="80" w:after="240"/>
      </w:pPr>
      <w:r>
        <w:rPr>
          <w:rFonts w:eastAsia="Times New Roman"/>
          <w:i/>
          <w:iCs/>
          <w:sz w:val="16"/>
          <w:szCs w:val="16"/>
        </w:rPr>
        <w:t>Seven predicted interaction partners ranked by summed base-pairing energy (LncRRIsearch; Fukunaga et al. 2019). UCN3 (★) was selected for biological follow-up based on its established HPA axis and MDD relevance; the four higher-ranked targets lack reported associations with MDD or suicidal behavior.</w:t>
      </w:r>
    </w:p>
    <w:p w14:paraId="73A0B4CC" w14:textId="77777777" w:rsidR="00286F85" w:rsidRPr="00286F85" w:rsidRDefault="00286F85">
      <w:pPr>
        <w:rPr>
          <w:rFonts w:hint="eastAsia"/>
        </w:rPr>
      </w:pPr>
    </w:p>
    <w:sectPr w:rsidR="00286F85" w:rsidRPr="00286F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FADEB" w14:textId="77777777" w:rsidR="00FE3AEF" w:rsidRDefault="00FE3AEF" w:rsidP="004734AB">
      <w:r>
        <w:separator/>
      </w:r>
    </w:p>
  </w:endnote>
  <w:endnote w:type="continuationSeparator" w:id="0">
    <w:p w14:paraId="1267E822" w14:textId="77777777" w:rsidR="00FE3AEF" w:rsidRDefault="00FE3AEF" w:rsidP="0047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B2B2" w14:textId="77777777" w:rsidR="00FE3AEF" w:rsidRDefault="00FE3AEF" w:rsidP="004734AB">
      <w:r>
        <w:separator/>
      </w:r>
    </w:p>
  </w:footnote>
  <w:footnote w:type="continuationSeparator" w:id="0">
    <w:p w14:paraId="61E52ECA" w14:textId="77777777" w:rsidR="00FE3AEF" w:rsidRDefault="00FE3AEF" w:rsidP="0047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EE4"/>
    <w:rsid w:val="00034B9E"/>
    <w:rsid w:val="001A664F"/>
    <w:rsid w:val="002352FE"/>
    <w:rsid w:val="0027240C"/>
    <w:rsid w:val="00286F85"/>
    <w:rsid w:val="003B4863"/>
    <w:rsid w:val="004734AB"/>
    <w:rsid w:val="004C7DC3"/>
    <w:rsid w:val="004E4B01"/>
    <w:rsid w:val="00556BF2"/>
    <w:rsid w:val="0055758A"/>
    <w:rsid w:val="005A725A"/>
    <w:rsid w:val="005B7C29"/>
    <w:rsid w:val="00672ABE"/>
    <w:rsid w:val="0073595C"/>
    <w:rsid w:val="00774507"/>
    <w:rsid w:val="00776AD1"/>
    <w:rsid w:val="00794951"/>
    <w:rsid w:val="008057F1"/>
    <w:rsid w:val="00950F1B"/>
    <w:rsid w:val="00A87EE4"/>
    <w:rsid w:val="00AB739C"/>
    <w:rsid w:val="00AC323F"/>
    <w:rsid w:val="00B06866"/>
    <w:rsid w:val="00C540BA"/>
    <w:rsid w:val="00C9276D"/>
    <w:rsid w:val="00D80A95"/>
    <w:rsid w:val="00F03F03"/>
    <w:rsid w:val="00F93AA5"/>
    <w:rsid w:val="00FE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7B73C"/>
  <w15:chartTrackingRefBased/>
  <w15:docId w15:val="{30BCF42F-BF0E-4993-AF20-AA239562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85"/>
    <w:pPr>
      <w:widowControl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1">
    <w:name w:val="heading 1"/>
    <w:basedOn w:val="a"/>
    <w:next w:val="a"/>
    <w:link w:val="10"/>
    <w:qFormat/>
    <w:rsid w:val="00A87E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A87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EE4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EE4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EE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EE4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EE4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EE4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EE4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87EE4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87EE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87EE4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87EE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87EE4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87EE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87EE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87EE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87E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7E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87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EE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87E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7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87E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7E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7EE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7E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87EE4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87EE4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734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734A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734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734AB"/>
    <w:rPr>
      <w:sz w:val="20"/>
      <w:szCs w:val="20"/>
    </w:rPr>
  </w:style>
  <w:style w:type="character" w:styleId="af2">
    <w:name w:val="Hyperlink"/>
    <w:uiPriority w:val="99"/>
    <w:unhideWhenUsed/>
    <w:rsid w:val="005B7C2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hang.ha@mail.ndmutsgh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holin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張語恬</dc:creator>
  <cp:keywords/>
  <dc:description/>
  <cp:lastModifiedBy>張語恬</cp:lastModifiedBy>
  <cp:revision>5</cp:revision>
  <dcterms:created xsi:type="dcterms:W3CDTF">2026-07-02T14:24:00Z</dcterms:created>
  <dcterms:modified xsi:type="dcterms:W3CDTF">2026-07-02T14:25:00Z</dcterms:modified>
</cp:coreProperties>
</file>