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Bdr>
          <w:top w:color="000000" w:space="0" w:sz="0" w:val="none"/>
          <w:left w:color="000000" w:space="0" w:sz="0" w:val="none"/>
          <w:bottom w:color="000000" w:space="0" w:sz="0" w:val="none"/>
          <w:right w:color="000000" w:space="0" w:sz="0" w:val="none"/>
          <w:between w:color="000000" w:space="0" w:sz="0" w:val="none"/>
        </w:pBdr>
        <w:spacing w:after="0" w:before="0" w:line="276" w:lineRule="auto"/>
        <w:jc w:val="both"/>
        <w:rPr>
          <w:rFonts w:ascii="Times New Roman" w:cs="Times New Roman" w:eastAsia="Times New Roman" w:hAnsi="Times New Roman"/>
          <w:b w:val="1"/>
          <w:bCs w:val="1"/>
          <w:sz w:val="28"/>
          <w:szCs w:val="28"/>
        </w:rPr>
      </w:pPr>
      <w:bookmarkStart w:colFirst="0" w:colLast="0" w:name="_n8h6ww4au9rl" w:id="0"/>
      <w:bookmarkEnd w:id="0"/>
      <w:r w:rsidDel="00000000" w:rsidR="00000000" w:rsidRPr="00000000">
        <w:rPr>
          <w:rtl w:val="0"/>
        </w:rPr>
      </w:r>
    </w:p>
    <w:p w:rsidR="00000000" w:rsidDel="00000000" w:rsidP="00000000" w:rsidRDefault="00000000" w:rsidRPr="00000000" w14:paraId="00000002">
      <w:pPr>
        <w:pStyle w:val="Heading2"/>
        <w:pBdr>
          <w:top w:color="000000" w:space="0" w:sz="0" w:val="none"/>
          <w:left w:color="000000" w:space="0" w:sz="0" w:val="none"/>
          <w:bottom w:color="000000" w:space="0" w:sz="0" w:val="none"/>
          <w:right w:color="000000" w:space="0" w:sz="0" w:val="none"/>
          <w:between w:color="000000" w:space="0" w:sz="0" w:val="none"/>
        </w:pBdr>
        <w:spacing w:after="0" w:before="0" w:line="276" w:lineRule="auto"/>
        <w:jc w:val="center"/>
        <w:rPr>
          <w:rFonts w:ascii="Times New Roman" w:cs="Times New Roman" w:eastAsia="Times New Roman" w:hAnsi="Times New Roman"/>
          <w:b w:val="1"/>
          <w:bCs w:val="1"/>
          <w:sz w:val="28"/>
          <w:szCs w:val="28"/>
        </w:rPr>
      </w:pPr>
      <w:bookmarkStart w:colFirst="0" w:colLast="0" w:name="_qklr18s0aqqk" w:id="1"/>
      <w:bookmarkEnd w:id="1"/>
      <w:r w:rsidDel="00000000" w:rsidR="00000000" w:rsidRPr="00000000">
        <w:rPr>
          <w:rFonts w:ascii="Times New Roman" w:cs="Times New Roman" w:eastAsia="Times New Roman" w:hAnsi="Times New Roman"/>
          <w:b w:val="1"/>
          <w:bCs w:val="1"/>
          <w:sz w:val="28"/>
          <w:szCs w:val="28"/>
          <w:rtl w:val="0"/>
        </w:rPr>
        <w:t xml:space="preserve">Cross-Tissue WGCNA Reveals Conserved Brain-Blood Transcriptomic Signatures and Potential Biomarkers for Asymptomatic Alzheimer's Disease Diagnosis. </w:t>
      </w:r>
    </w:p>
    <w:p w:rsidR="00000000" w:rsidDel="00000000" w:rsidP="00000000" w:rsidRDefault="00000000" w:rsidRPr="00000000" w14:paraId="00000003">
      <w:pPr>
        <w:pStyle w:val="Heading2"/>
        <w:pBdr>
          <w:top w:color="000000" w:space="0" w:sz="0" w:val="none"/>
          <w:left w:color="000000" w:space="0" w:sz="0" w:val="none"/>
          <w:bottom w:color="000000" w:space="0" w:sz="0" w:val="none"/>
          <w:right w:color="000000" w:space="0" w:sz="0" w:val="none"/>
          <w:between w:color="000000" w:space="0" w:sz="0" w:val="none"/>
        </w:pBdr>
        <w:spacing w:after="0" w:before="0" w:line="276" w:lineRule="auto"/>
        <w:jc w:val="both"/>
        <w:rPr>
          <w:rFonts w:ascii="Times New Roman" w:cs="Times New Roman" w:eastAsia="Times New Roman" w:hAnsi="Times New Roman"/>
          <w:b w:val="1"/>
          <w:bCs w:val="1"/>
          <w:sz w:val="28"/>
          <w:szCs w:val="28"/>
        </w:rPr>
      </w:pPr>
      <w:bookmarkStart w:colFirst="0" w:colLast="0" w:name="_c7bfugdc7tt4" w:id="2"/>
      <w:bookmarkEnd w:id="2"/>
      <w:r w:rsidDel="00000000" w:rsidR="00000000" w:rsidRPr="00000000">
        <w:rPr>
          <w:rtl w:val="0"/>
        </w:rPr>
      </w:r>
    </w:p>
    <w:p w:rsidR="00000000" w:rsidDel="00000000" w:rsidP="00000000" w:rsidRDefault="00000000" w:rsidRPr="00000000" w14:paraId="00000004">
      <w:pPr>
        <w:pStyle w:val="Heading2"/>
        <w:pBdr>
          <w:top w:color="000000" w:space="0" w:sz="0" w:val="none"/>
          <w:left w:color="000000" w:space="0" w:sz="0" w:val="none"/>
          <w:bottom w:color="000000" w:space="0" w:sz="0" w:val="none"/>
          <w:right w:color="000000" w:space="0" w:sz="0" w:val="none"/>
          <w:between w:color="000000" w:space="0" w:sz="0" w:val="none"/>
        </w:pBdr>
        <w:spacing w:after="0" w:before="0" w:line="276" w:lineRule="auto"/>
        <w:jc w:val="both"/>
        <w:rPr>
          <w:rFonts w:ascii="Times New Roman" w:cs="Times New Roman" w:eastAsia="Times New Roman" w:hAnsi="Times New Roman"/>
          <w:b w:val="1"/>
          <w:bCs w:val="1"/>
          <w:sz w:val="28"/>
          <w:szCs w:val="28"/>
        </w:rPr>
      </w:pPr>
      <w:bookmarkStart w:colFirst="0" w:colLast="0" w:name="_8gfe4asulz0c" w:id="3"/>
      <w:bookmarkEnd w:id="3"/>
      <w:r w:rsidDel="00000000" w:rsidR="00000000" w:rsidRPr="00000000">
        <w:rPr>
          <w:rtl w:val="0"/>
        </w:rPr>
      </w:r>
    </w:p>
    <w:p w:rsidR="00000000" w:rsidDel="00000000" w:rsidP="00000000" w:rsidRDefault="00000000" w:rsidRPr="00000000" w14:paraId="00000005">
      <w:pPr>
        <w:pStyle w:val="Heading2"/>
        <w:pBdr>
          <w:top w:color="000000" w:space="0" w:sz="0" w:val="none"/>
          <w:left w:color="000000" w:space="0" w:sz="0" w:val="none"/>
          <w:bottom w:color="000000" w:space="0" w:sz="0" w:val="none"/>
          <w:right w:color="000000" w:space="0" w:sz="0" w:val="none"/>
          <w:between w:color="000000" w:space="0" w:sz="0" w:val="none"/>
        </w:pBdr>
        <w:spacing w:after="0" w:before="0" w:line="276" w:lineRule="auto"/>
        <w:jc w:val="both"/>
        <w:rPr>
          <w:rFonts w:ascii="Times New Roman" w:cs="Times New Roman" w:eastAsia="Times New Roman" w:hAnsi="Times New Roman"/>
          <w:b w:val="1"/>
          <w:bCs w:val="1"/>
          <w:sz w:val="28"/>
          <w:szCs w:val="28"/>
        </w:rPr>
      </w:pPr>
      <w:bookmarkStart w:colFirst="0" w:colLast="0" w:name="_jd09dk923yau" w:id="4"/>
      <w:bookmarkEnd w:id="4"/>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b w:val="1"/>
          <w:bCs w:val="1"/>
          <w:sz w:val="24"/>
          <w:szCs w:val="24"/>
          <w:vertAlign w:val="superscript"/>
        </w:rPr>
      </w:pPr>
      <w:r w:rsidDel="00000000" w:rsidR="00000000" w:rsidRPr="00000000">
        <w:rPr>
          <w:rFonts w:ascii="Times New Roman" w:cs="Times New Roman" w:eastAsia="Times New Roman" w:hAnsi="Times New Roman"/>
          <w:b w:val="1"/>
          <w:bCs w:val="1"/>
          <w:sz w:val="24"/>
          <w:szCs w:val="24"/>
          <w:rtl w:val="0"/>
        </w:rPr>
        <w:t xml:space="preserve">Efe Jennifer Jaiyeoba-Ojigho¹</w:t>
      </w:r>
      <w:r w:rsidDel="00000000" w:rsidR="00000000" w:rsidRPr="00000000">
        <w:rPr>
          <w:rFonts w:ascii="Times New Roman" w:cs="Times New Roman" w:eastAsia="Times New Roman" w:hAnsi="Times New Roman"/>
          <w:b w:val="1"/>
          <w:bCs w:val="1"/>
          <w:sz w:val="24"/>
          <w:szCs w:val="24"/>
          <w:vertAlign w:val="superscript"/>
          <w:rtl w:val="0"/>
        </w:rPr>
        <w:t xml:space="preserve">,2</w:t>
      </w:r>
      <w:r w:rsidDel="00000000" w:rsidR="00000000" w:rsidRPr="00000000">
        <w:rPr>
          <w:rFonts w:ascii="Times New Roman" w:cs="Times New Roman" w:eastAsia="Times New Roman" w:hAnsi="Times New Roman"/>
          <w:b w:val="1"/>
          <w:bCs w:val="1"/>
          <w:sz w:val="24"/>
          <w:szCs w:val="24"/>
          <w:rtl w:val="0"/>
        </w:rPr>
        <w:t xml:space="preserve">, Taye Motunrayo Ilesanmi*</w:t>
      </w:r>
      <w:r w:rsidDel="00000000" w:rsidR="00000000" w:rsidRPr="00000000">
        <w:rPr>
          <w:rFonts w:ascii="Times New Roman" w:cs="Times New Roman" w:eastAsia="Times New Roman" w:hAnsi="Times New Roman"/>
          <w:b w:val="1"/>
          <w:bCs w:val="1"/>
          <w:sz w:val="24"/>
          <w:szCs w:val="24"/>
          <w:vertAlign w:val="superscript"/>
          <w:rtl w:val="0"/>
        </w:rPr>
        <w:t xml:space="preserve">1,3</w:t>
      </w:r>
      <w:r w:rsidDel="00000000" w:rsidR="00000000" w:rsidRPr="00000000">
        <w:rPr>
          <w:rFonts w:ascii="Times New Roman" w:cs="Times New Roman" w:eastAsia="Times New Roman" w:hAnsi="Times New Roman"/>
          <w:b w:val="1"/>
          <w:bCs w:val="1"/>
          <w:sz w:val="24"/>
          <w:szCs w:val="24"/>
          <w:rtl w:val="0"/>
        </w:rPr>
        <w:t xml:space="preserve">, Chris-Ozoko Ebele Lilian</w:t>
      </w:r>
      <w:r w:rsidDel="00000000" w:rsidR="00000000" w:rsidRPr="00000000">
        <w:rPr>
          <w:rFonts w:ascii="Times New Roman" w:cs="Times New Roman" w:eastAsia="Times New Roman" w:hAnsi="Times New Roman"/>
          <w:b w:val="1"/>
          <w:bCs w:val="1"/>
          <w:sz w:val="24"/>
          <w:szCs w:val="24"/>
          <w:vertAlign w:val="superscript"/>
          <w:rtl w:val="0"/>
        </w:rPr>
        <w:t xml:space="preserve">2</w:t>
      </w:r>
      <w:r w:rsidDel="00000000" w:rsidR="00000000" w:rsidRPr="00000000">
        <w:rPr>
          <w:rFonts w:ascii="Times New Roman" w:cs="Times New Roman" w:eastAsia="Times New Roman" w:hAnsi="Times New Roman"/>
          <w:b w:val="1"/>
          <w:bCs w:val="1"/>
          <w:sz w:val="24"/>
          <w:szCs w:val="24"/>
          <w:rtl w:val="0"/>
        </w:rPr>
        <w:t xml:space="preserve">, Oluwaseyi Abraham Olawale</w:t>
      </w:r>
      <w:r w:rsidDel="00000000" w:rsidR="00000000" w:rsidRPr="00000000">
        <w:rPr>
          <w:rFonts w:ascii="Times New Roman" w:cs="Times New Roman" w:eastAsia="Times New Roman" w:hAnsi="Times New Roman"/>
          <w:b w:val="1"/>
          <w:bCs w:val="1"/>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Sefi Omole Ijeboi</w:t>
      </w:r>
      <w:r w:rsidDel="00000000" w:rsidR="00000000" w:rsidRPr="00000000">
        <w:rPr>
          <w:rFonts w:ascii="Times New Roman" w:cs="Times New Roman" w:eastAsia="Times New Roman" w:hAnsi="Times New Roman"/>
          <w:b w:val="1"/>
          <w:bCs w:val="1"/>
          <w:sz w:val="24"/>
          <w:szCs w:val="24"/>
          <w:vertAlign w:val="superscript"/>
          <w:rtl w:val="0"/>
        </w:rPr>
        <w:t xml:space="preserve">1,4</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Ikechukwu Emmanuel Okolie</w:t>
      </w:r>
      <w:r w:rsidDel="00000000" w:rsidR="00000000" w:rsidRPr="00000000">
        <w:rPr>
          <w:rFonts w:ascii="Times New Roman" w:cs="Times New Roman" w:eastAsia="Times New Roman" w:hAnsi="Times New Roman"/>
          <w:b w:val="1"/>
          <w:bCs w:val="1"/>
          <w:sz w:val="24"/>
          <w:szCs w:val="24"/>
          <w:vertAlign w:val="superscript"/>
          <w:rtl w:val="0"/>
        </w:rPr>
        <w:t xml:space="preserve">5</w:t>
      </w:r>
    </w:p>
    <w:p w:rsidR="00000000" w:rsidDel="00000000" w:rsidP="00000000" w:rsidRDefault="00000000" w:rsidRPr="00000000" w14:paraId="00000008">
      <w:pPr>
        <w:spacing w:after="240" w:befor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spacing w:after="240" w:before="240" w:lineRule="auto"/>
        <w:ind w:left="8" w:firstLine="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Bioinformatics and Genomics Research Unit, Genomac Institute, Ogbomosho 210213, Nigeria</w:t>
      </w:r>
    </w:p>
    <w:p w:rsidR="00000000" w:rsidDel="00000000" w:rsidP="00000000" w:rsidRDefault="00000000" w:rsidRPr="00000000" w14:paraId="0000000A">
      <w:pPr>
        <w:spacing w:after="240" w:before="240" w:lineRule="auto"/>
        <w:ind w:left="8" w:firstLine="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Department of Human Anatomy, Delta State University, Abraka, Nigeria</w:t>
      </w:r>
    </w:p>
    <w:p w:rsidR="00000000" w:rsidDel="00000000" w:rsidP="00000000" w:rsidRDefault="00000000" w:rsidRPr="00000000" w14:paraId="0000000B">
      <w:pPr>
        <w:spacing w:after="240" w:before="240" w:lineRule="auto"/>
        <w:ind w:left="8" w:firstLine="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Department of Biochemistry, University of Ilorin, Ilorin 240003, Nigeria </w:t>
      </w:r>
    </w:p>
    <w:p w:rsidR="00000000" w:rsidDel="00000000" w:rsidP="00000000" w:rsidRDefault="00000000" w:rsidRPr="00000000" w14:paraId="0000000C">
      <w:pPr>
        <w:spacing w:after="240" w:before="240" w:lineRule="auto"/>
        <w:ind w:left="8" w:firstLine="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Department of Plant Biology and Biotechnology, University of Benin, Edo State, Nigeria</w:t>
      </w:r>
    </w:p>
    <w:p w:rsidR="00000000" w:rsidDel="00000000" w:rsidP="00000000" w:rsidRDefault="00000000" w:rsidRPr="00000000" w14:paraId="0000000D">
      <w:pPr>
        <w:spacing w:after="240" w:before="240" w:lineRule="auto"/>
        <w:ind w:left="8" w:firstLine="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Department of Nursing and Midwifery, University of Central Lancashire, Preston, England</w:t>
      </w:r>
    </w:p>
    <w:p w:rsidR="00000000" w:rsidDel="00000000" w:rsidP="00000000" w:rsidRDefault="00000000" w:rsidRPr="00000000" w14:paraId="0000000E">
      <w:pPr>
        <w:spacing w:after="240" w:befor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*Correspondence:</w:t>
      </w:r>
      <w:r w:rsidDel="00000000" w:rsidR="00000000" w:rsidRPr="00000000">
        <w:rPr>
          <w:rFonts w:ascii="Times New Roman" w:cs="Times New Roman" w:eastAsia="Times New Roman" w:hAnsi="Times New Roman"/>
          <w:sz w:val="24"/>
          <w:szCs w:val="24"/>
          <w:rtl w:val="0"/>
        </w:rPr>
        <w:t xml:space="preserve"> motunrayoilesanmi85@gmail.com</w:t>
      </w:r>
      <w:r w:rsidDel="00000000" w:rsidR="00000000" w:rsidRPr="00000000">
        <w:rPr>
          <w:rtl w:val="0"/>
        </w:rPr>
      </w:r>
    </w:p>
    <w:p w:rsidR="00000000" w:rsidDel="00000000" w:rsidP="00000000" w:rsidRDefault="00000000" w:rsidRPr="00000000" w14:paraId="0000000F">
      <w:pPr>
        <w:pStyle w:val="Heading2"/>
        <w:spacing w:after="0" w:before="0" w:line="240" w:lineRule="auto"/>
        <w:ind w:left="720" w:firstLine="0"/>
        <w:jc w:val="both"/>
        <w:rPr>
          <w:rFonts w:ascii="Times New Roman" w:cs="Times New Roman" w:eastAsia="Times New Roman" w:hAnsi="Times New Roman"/>
          <w:b w:val="1"/>
          <w:bCs w:val="1"/>
          <w:sz w:val="28"/>
          <w:szCs w:val="28"/>
        </w:rPr>
      </w:pPr>
      <w:bookmarkStart w:colFirst="0" w:colLast="0" w:name="_krdhyn5i9ksp" w:id="5"/>
      <w:bookmarkEnd w:id="5"/>
      <w:r w:rsidDel="00000000" w:rsidR="00000000" w:rsidRPr="00000000">
        <w:rPr>
          <w:rtl w:val="0"/>
        </w:rPr>
      </w:r>
    </w:p>
    <w:p w:rsidR="00000000" w:rsidDel="00000000" w:rsidP="00000000" w:rsidRDefault="00000000" w:rsidRPr="00000000" w14:paraId="00000010">
      <w:pPr>
        <w:pStyle w:val="Heading2"/>
        <w:spacing w:after="0" w:before="0" w:line="240" w:lineRule="auto"/>
        <w:ind w:left="720" w:firstLine="0"/>
        <w:jc w:val="both"/>
        <w:rPr>
          <w:rFonts w:ascii="Times New Roman" w:cs="Times New Roman" w:eastAsia="Times New Roman" w:hAnsi="Times New Roman"/>
          <w:b w:val="1"/>
          <w:bCs w:val="1"/>
          <w:sz w:val="28"/>
          <w:szCs w:val="28"/>
        </w:rPr>
      </w:pPr>
      <w:bookmarkStart w:colFirst="0" w:colLast="0" w:name="_auwsajc4rvg9" w:id="6"/>
      <w:bookmarkEnd w:id="6"/>
      <w:r w:rsidDel="00000000" w:rsidR="00000000" w:rsidRPr="00000000">
        <w:rPr>
          <w:rtl w:val="0"/>
        </w:rPr>
      </w:r>
    </w:p>
    <w:p w:rsidR="00000000" w:rsidDel="00000000" w:rsidP="00000000" w:rsidRDefault="00000000" w:rsidRPr="00000000" w14:paraId="00000011">
      <w:pPr>
        <w:pStyle w:val="Heading2"/>
        <w:spacing w:after="0" w:before="0" w:line="240" w:lineRule="auto"/>
        <w:ind w:left="720" w:firstLine="0"/>
        <w:jc w:val="both"/>
        <w:rPr>
          <w:rFonts w:ascii="Times New Roman" w:cs="Times New Roman" w:eastAsia="Times New Roman" w:hAnsi="Times New Roman"/>
          <w:b w:val="1"/>
          <w:bCs w:val="1"/>
          <w:sz w:val="28"/>
          <w:szCs w:val="28"/>
        </w:rPr>
      </w:pPr>
      <w:bookmarkStart w:colFirst="0" w:colLast="0" w:name="_jzlrrlbjyum1" w:id="7"/>
      <w:bookmarkEnd w:id="7"/>
      <w:r w:rsidDel="00000000" w:rsidR="00000000" w:rsidRPr="00000000">
        <w:rPr>
          <w:rtl w:val="0"/>
        </w:rPr>
      </w:r>
    </w:p>
    <w:p w:rsidR="00000000" w:rsidDel="00000000" w:rsidP="00000000" w:rsidRDefault="00000000" w:rsidRPr="00000000" w14:paraId="00000012">
      <w:pPr>
        <w:pStyle w:val="Heading2"/>
        <w:spacing w:after="0" w:before="0" w:line="240" w:lineRule="auto"/>
        <w:ind w:left="720" w:firstLine="0"/>
        <w:jc w:val="both"/>
        <w:rPr>
          <w:rFonts w:ascii="Times New Roman" w:cs="Times New Roman" w:eastAsia="Times New Roman" w:hAnsi="Times New Roman"/>
          <w:b w:val="1"/>
          <w:bCs w:val="1"/>
          <w:sz w:val="28"/>
          <w:szCs w:val="28"/>
        </w:rPr>
      </w:pPr>
      <w:bookmarkStart w:colFirst="0" w:colLast="0" w:name="_slojqzrzeg9t" w:id="8"/>
      <w:bookmarkEnd w:id="8"/>
      <w:r w:rsidDel="00000000" w:rsidR="00000000" w:rsidRPr="00000000">
        <w:rPr>
          <w:rtl w:val="0"/>
        </w:rPr>
      </w:r>
    </w:p>
    <w:p w:rsidR="00000000" w:rsidDel="00000000" w:rsidP="00000000" w:rsidRDefault="00000000" w:rsidRPr="00000000" w14:paraId="00000013">
      <w:pPr>
        <w:pStyle w:val="Heading2"/>
        <w:spacing w:after="0" w:before="0" w:line="240" w:lineRule="auto"/>
        <w:ind w:left="0" w:firstLine="0"/>
        <w:jc w:val="both"/>
        <w:rPr>
          <w:rFonts w:ascii="Times New Roman" w:cs="Times New Roman" w:eastAsia="Times New Roman" w:hAnsi="Times New Roman"/>
          <w:b w:val="1"/>
          <w:bCs w:val="1"/>
          <w:sz w:val="28"/>
          <w:szCs w:val="28"/>
        </w:rPr>
      </w:pPr>
      <w:bookmarkStart w:colFirst="0" w:colLast="0" w:name="_81tbdkk1sc5p" w:id="9"/>
      <w:bookmarkEnd w:id="9"/>
      <w:r w:rsidDel="00000000" w:rsidR="00000000" w:rsidRPr="00000000">
        <w:rPr>
          <w:rtl w:val="0"/>
        </w:rPr>
      </w:r>
    </w:p>
    <w:p w:rsidR="00000000" w:rsidDel="00000000" w:rsidP="00000000" w:rsidRDefault="00000000" w:rsidRPr="00000000" w14:paraId="00000014">
      <w:pPr>
        <w:pStyle w:val="Heading2"/>
        <w:spacing w:after="0" w:before="0" w:line="240" w:lineRule="auto"/>
        <w:ind w:left="0" w:firstLine="0"/>
        <w:jc w:val="both"/>
        <w:rPr>
          <w:rFonts w:ascii="Times New Roman" w:cs="Times New Roman" w:eastAsia="Times New Roman" w:hAnsi="Times New Roman"/>
          <w:b w:val="1"/>
          <w:bCs w:val="1"/>
          <w:sz w:val="28"/>
          <w:szCs w:val="28"/>
        </w:rPr>
      </w:pPr>
      <w:bookmarkStart w:colFirst="0" w:colLast="0" w:name="_tor5xq7bs99n" w:id="10"/>
      <w:bookmarkEnd w:id="10"/>
      <w:r w:rsidDel="00000000" w:rsidR="00000000" w:rsidRPr="00000000">
        <w:rPr>
          <w:rtl w:val="0"/>
        </w:rPr>
      </w:r>
    </w:p>
    <w:p w:rsidR="00000000" w:rsidDel="00000000" w:rsidP="00000000" w:rsidRDefault="00000000" w:rsidRPr="00000000" w14:paraId="00000015">
      <w:pPr>
        <w:pStyle w:val="Heading2"/>
        <w:spacing w:after="0" w:before="0" w:line="240" w:lineRule="auto"/>
        <w:ind w:left="0" w:firstLine="0"/>
        <w:jc w:val="both"/>
        <w:rPr>
          <w:rFonts w:ascii="Times New Roman" w:cs="Times New Roman" w:eastAsia="Times New Roman" w:hAnsi="Times New Roman"/>
          <w:b w:val="1"/>
          <w:bCs w:val="1"/>
          <w:sz w:val="28"/>
          <w:szCs w:val="28"/>
        </w:rPr>
      </w:pPr>
      <w:bookmarkStart w:colFirst="0" w:colLast="0" w:name="_oojnizfgdkol" w:id="11"/>
      <w:bookmarkEnd w:id="11"/>
      <w:r w:rsidDel="00000000" w:rsidR="00000000" w:rsidRPr="00000000">
        <w:rPr>
          <w:rtl w:val="0"/>
        </w:rPr>
      </w:r>
    </w:p>
    <w:p w:rsidR="00000000" w:rsidDel="00000000" w:rsidP="00000000" w:rsidRDefault="00000000" w:rsidRPr="00000000" w14:paraId="00000016">
      <w:pPr>
        <w:pStyle w:val="Heading2"/>
        <w:spacing w:after="0" w:before="0" w:line="240" w:lineRule="auto"/>
        <w:ind w:left="0" w:firstLine="0"/>
        <w:jc w:val="both"/>
        <w:rPr>
          <w:rFonts w:ascii="Times New Roman" w:cs="Times New Roman" w:eastAsia="Times New Roman" w:hAnsi="Times New Roman"/>
          <w:b w:val="1"/>
          <w:bCs w:val="1"/>
          <w:sz w:val="28"/>
          <w:szCs w:val="28"/>
        </w:rPr>
      </w:pPr>
      <w:bookmarkStart w:colFirst="0" w:colLast="0" w:name="_1cbmhxdj546e" w:id="12"/>
      <w:bookmarkEnd w:id="12"/>
      <w:r w:rsidDel="00000000" w:rsidR="00000000" w:rsidRPr="00000000">
        <w:rPr>
          <w:rtl w:val="0"/>
        </w:rPr>
      </w:r>
    </w:p>
    <w:p w:rsidR="00000000" w:rsidDel="00000000" w:rsidP="00000000" w:rsidRDefault="00000000" w:rsidRPr="00000000" w14:paraId="00000017">
      <w:pPr>
        <w:pStyle w:val="Heading2"/>
        <w:spacing w:after="0" w:before="0" w:line="240" w:lineRule="auto"/>
        <w:ind w:left="0" w:firstLine="0"/>
        <w:jc w:val="both"/>
        <w:rPr>
          <w:rFonts w:ascii="Times New Roman" w:cs="Times New Roman" w:eastAsia="Times New Roman" w:hAnsi="Times New Roman"/>
          <w:b w:val="1"/>
          <w:bCs w:val="1"/>
          <w:sz w:val="28"/>
          <w:szCs w:val="28"/>
        </w:rPr>
      </w:pPr>
      <w:bookmarkStart w:colFirst="0" w:colLast="0" w:name="_mzpyn3oi7wld" w:id="13"/>
      <w:bookmarkEnd w:id="13"/>
      <w:r w:rsidDel="00000000" w:rsidR="00000000" w:rsidRPr="00000000">
        <w:rPr>
          <w:rtl w:val="0"/>
        </w:rPr>
      </w:r>
    </w:p>
    <w:p w:rsidR="00000000" w:rsidDel="00000000" w:rsidP="00000000" w:rsidRDefault="00000000" w:rsidRPr="00000000" w14:paraId="00000018">
      <w:pPr>
        <w:pStyle w:val="Heading2"/>
        <w:spacing w:after="0" w:before="0" w:line="240" w:lineRule="auto"/>
        <w:ind w:left="0" w:firstLine="0"/>
        <w:jc w:val="both"/>
        <w:rPr>
          <w:rFonts w:ascii="Times New Roman" w:cs="Times New Roman" w:eastAsia="Times New Roman" w:hAnsi="Times New Roman"/>
          <w:b w:val="1"/>
          <w:bCs w:val="1"/>
          <w:sz w:val="28"/>
          <w:szCs w:val="28"/>
        </w:rPr>
      </w:pPr>
      <w:bookmarkStart w:colFirst="0" w:colLast="0" w:name="_astoitxf7g1j" w:id="14"/>
      <w:bookmarkEnd w:id="14"/>
      <w:r w:rsidDel="00000000" w:rsidR="00000000" w:rsidRPr="00000000">
        <w:rPr>
          <w:rtl w:val="0"/>
        </w:rPr>
      </w:r>
    </w:p>
    <w:p w:rsidR="00000000" w:rsidDel="00000000" w:rsidP="00000000" w:rsidRDefault="00000000" w:rsidRPr="00000000" w14:paraId="00000019">
      <w:pPr>
        <w:pStyle w:val="Heading2"/>
        <w:spacing w:after="0" w:before="0" w:line="240" w:lineRule="auto"/>
        <w:ind w:left="0" w:firstLine="0"/>
        <w:jc w:val="both"/>
        <w:rPr>
          <w:rFonts w:ascii="Times New Roman" w:cs="Times New Roman" w:eastAsia="Times New Roman" w:hAnsi="Times New Roman"/>
          <w:b w:val="1"/>
          <w:bCs w:val="1"/>
          <w:sz w:val="28"/>
          <w:szCs w:val="28"/>
        </w:rPr>
      </w:pPr>
      <w:bookmarkStart w:colFirst="0" w:colLast="0" w:name="_derepgjt1way" w:id="15"/>
      <w:bookmarkEnd w:id="15"/>
      <w:r w:rsidDel="00000000" w:rsidR="00000000" w:rsidRPr="00000000">
        <w:rPr>
          <w:rtl w:val="0"/>
        </w:rPr>
      </w:r>
    </w:p>
    <w:p w:rsidR="00000000" w:rsidDel="00000000" w:rsidP="00000000" w:rsidRDefault="00000000" w:rsidRPr="00000000" w14:paraId="0000001A">
      <w:pPr>
        <w:pStyle w:val="Heading2"/>
        <w:spacing w:after="0" w:before="0" w:line="240" w:lineRule="auto"/>
        <w:ind w:left="0" w:firstLine="0"/>
        <w:jc w:val="both"/>
        <w:rPr>
          <w:rFonts w:ascii="Times New Roman" w:cs="Times New Roman" w:eastAsia="Times New Roman" w:hAnsi="Times New Roman"/>
          <w:b w:val="1"/>
          <w:bCs w:val="1"/>
          <w:sz w:val="28"/>
          <w:szCs w:val="28"/>
        </w:rPr>
      </w:pPr>
      <w:bookmarkStart w:colFirst="0" w:colLast="0" w:name="_hxrlidljskbh" w:id="16"/>
      <w:bookmarkEnd w:id="16"/>
      <w:r w:rsidDel="00000000" w:rsidR="00000000" w:rsidRPr="00000000">
        <w:rPr>
          <w:rtl w:val="0"/>
        </w:rPr>
      </w:r>
    </w:p>
    <w:p w:rsidR="00000000" w:rsidDel="00000000" w:rsidP="00000000" w:rsidRDefault="00000000" w:rsidRPr="00000000" w14:paraId="0000001B">
      <w:pPr>
        <w:pStyle w:val="Heading2"/>
        <w:spacing w:after="0" w:before="0" w:line="240" w:lineRule="auto"/>
        <w:ind w:left="0" w:firstLine="0"/>
        <w:jc w:val="both"/>
        <w:rPr>
          <w:rFonts w:ascii="Times New Roman" w:cs="Times New Roman" w:eastAsia="Times New Roman" w:hAnsi="Times New Roman"/>
          <w:b w:val="1"/>
          <w:bCs w:val="1"/>
          <w:sz w:val="28"/>
          <w:szCs w:val="28"/>
        </w:rPr>
      </w:pPr>
      <w:bookmarkStart w:colFirst="0" w:colLast="0" w:name="_ja3o6occpf4l" w:id="17"/>
      <w:bookmarkEnd w:id="17"/>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2"/>
        <w:spacing w:after="0" w:before="0" w:line="240" w:lineRule="auto"/>
        <w:ind w:left="0" w:firstLine="0"/>
        <w:jc w:val="both"/>
        <w:rPr>
          <w:rFonts w:ascii="Times New Roman" w:cs="Times New Roman" w:eastAsia="Times New Roman" w:hAnsi="Times New Roman"/>
          <w:b w:val="1"/>
          <w:bCs w:val="1"/>
          <w:sz w:val="28"/>
          <w:szCs w:val="28"/>
        </w:rPr>
      </w:pPr>
      <w:bookmarkStart w:colFirst="0" w:colLast="0" w:name="_9ww4a5xvkzgh" w:id="18"/>
      <w:bookmarkEnd w:id="18"/>
      <w:r w:rsidDel="00000000" w:rsidR="00000000" w:rsidRPr="00000000">
        <w:rPr>
          <w:rtl w:val="0"/>
        </w:rPr>
      </w:r>
    </w:p>
    <w:p w:rsidR="00000000" w:rsidDel="00000000" w:rsidP="00000000" w:rsidRDefault="00000000" w:rsidRPr="00000000" w14:paraId="0000001E">
      <w:pPr>
        <w:pStyle w:val="Heading2"/>
        <w:spacing w:after="0" w:before="0" w:line="240" w:lineRule="auto"/>
        <w:ind w:left="0" w:firstLine="0"/>
        <w:jc w:val="both"/>
        <w:rPr>
          <w:rFonts w:ascii="Times New Roman" w:cs="Times New Roman" w:eastAsia="Times New Roman" w:hAnsi="Times New Roman"/>
          <w:b w:val="1"/>
          <w:bCs w:val="1"/>
          <w:sz w:val="28"/>
          <w:szCs w:val="28"/>
        </w:rPr>
      </w:pPr>
      <w:bookmarkStart w:colFirst="0" w:colLast="0" w:name="_x0b9f2yjxqnf" w:id="19"/>
      <w:bookmarkEnd w:id="19"/>
      <w:r w:rsidDel="00000000" w:rsidR="00000000" w:rsidRPr="00000000">
        <w:rPr>
          <w:rFonts w:ascii="Times New Roman" w:cs="Times New Roman" w:eastAsia="Times New Roman" w:hAnsi="Times New Roman"/>
          <w:b w:val="1"/>
          <w:bCs w:val="1"/>
          <w:sz w:val="28"/>
          <w:szCs w:val="28"/>
          <w:rtl w:val="0"/>
        </w:rPr>
        <w:t xml:space="preserve">SUPPLEMENTARY MATERIALS </w:t>
      </w:r>
    </w:p>
    <w:p w:rsidR="00000000" w:rsidDel="00000000" w:rsidP="00000000" w:rsidRDefault="00000000" w:rsidRPr="00000000" w14:paraId="0000001F">
      <w:pPr>
        <w:spacing w:line="276" w:lineRule="auto"/>
        <w:rPr/>
      </w:pPr>
      <w:r w:rsidDel="00000000" w:rsidR="00000000" w:rsidRPr="00000000">
        <w:rPr>
          <w:rtl w:val="0"/>
        </w:rPr>
      </w:r>
    </w:p>
    <w:p w:rsidR="00000000" w:rsidDel="00000000" w:rsidP="00000000" w:rsidRDefault="00000000" w:rsidRPr="00000000" w14:paraId="00000020">
      <w:pPr>
        <w:spacing w:line="276" w:lineRule="auto"/>
        <w:rPr/>
      </w:pPr>
      <w:r w:rsidDel="00000000" w:rsidR="00000000" w:rsidRPr="00000000">
        <w:rPr>
          <w:rtl w:val="0"/>
        </w:rPr>
      </w:r>
    </w:p>
    <w:p w:rsidR="00000000" w:rsidDel="00000000" w:rsidP="00000000" w:rsidRDefault="00000000" w:rsidRPr="00000000" w14:paraId="0000002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Pr>
        <w:drawing>
          <wp:inline distB="114300" distT="114300" distL="114300" distR="114300">
            <wp:extent cx="5943600" cy="534670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53467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spacing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3">
      <w:pPr>
        <w:spacing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4">
      <w:pP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Figure S1: </w:t>
      </w:r>
      <w:r w:rsidDel="00000000" w:rsidR="00000000" w:rsidRPr="00000000">
        <w:rPr>
          <w:rFonts w:ascii="Times New Roman" w:cs="Times New Roman" w:eastAsia="Times New Roman" w:hAnsi="Times New Roman"/>
          <w:rtl w:val="0"/>
        </w:rPr>
        <w:t xml:space="preserve">(A, C) The scale-free topology fit index (R2) is plotted as a function of soft-thresholding power (β) for the early disease (entorhinal cortex) and late disease (frontal cortex) cohorts, respectively. The dashed horizontal line marks the targeted R2 threshold of 0.85, which is necessary to ensure that the networks approximate a scale-free topology. (B, D) The mean connectivity is shown as a function of soft-thresholding power for the corresponding brain regions, illustrating the characteristic exponential decay in mean network connectivity as β increases. Accordingly, a soft-thresholding power of β = 5 was chosen for the entorhinal cortex network, and β = 4 for the frontal cortex network. These values represent the optimal thresholds at which each network robustly meets the scale-free fit criteria while preserving sufficient mean connectivity for downstream analysis.</w:t>
      </w:r>
    </w:p>
    <w:p w:rsidR="00000000" w:rsidDel="00000000" w:rsidP="00000000" w:rsidRDefault="00000000" w:rsidRPr="00000000" w14:paraId="00000025">
      <w:pPr>
        <w:spacing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6">
      <w:pPr>
        <w:spacing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7">
      <w:pPr>
        <w:spacing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8">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Pr>
        <w:drawing>
          <wp:inline distB="114300" distT="114300" distL="114300" distR="114300">
            <wp:extent cx="5943600" cy="4165600"/>
            <wp:effectExtent b="0" l="0" r="0" t="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943600" cy="4165600"/>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spacing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A">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Figure S2:</w:t>
      </w:r>
      <w:r w:rsidDel="00000000" w:rsidR="00000000" w:rsidRPr="00000000">
        <w:rPr>
          <w:rFonts w:ascii="Times New Roman" w:cs="Times New Roman" w:eastAsia="Times New Roman" w:hAnsi="Times New Roman"/>
          <w:rtl w:val="0"/>
        </w:rPr>
        <w:t xml:space="preserve"> The heatmaps display the associations between module eigengenes and clinical diagnostic traits in the early-stage entorhinal cortex cohort (left: asymptomatic (AsymAD) versus healthy controls) and the late-stage frontal cortex cohort (right: symptomatic (SymAD) versus healthy controls). Each row represents a distinct co-expression module, identified by its assigned colour. Each cell presents the Pearson correlation coefficient between the global module eigengene and the clinical trait (top value), with the corresponding p-value in parentheses. The adjacent colour bars reflect the magnitude and direction of the correlation, ranging from red (positive correlation) to blue (negative correlation). In the early-stage asymptomatic network, the purple module shows a significant negative correlation with the disease trait (r = -0.61, p = 2 × 10-7), while the black module displays a moderate positive correlation (r = 0.29, p = 0.02). In contrast, in the late-stage symptomatic network, the brown and green modules exhibit significant positive correlations with clinical diagnosis (r = 0.56, p = 3 × 10-6 and r = 0.38, p = 0.003, respectively).</w:t>
      </w:r>
    </w:p>
    <w:p w:rsidR="00000000" w:rsidDel="00000000" w:rsidP="00000000" w:rsidRDefault="00000000" w:rsidRPr="00000000" w14:paraId="0000002B">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Pr>
        <w:drawing>
          <wp:inline distB="114300" distT="114300" distL="114300" distR="114300">
            <wp:extent cx="5943600" cy="3149600"/>
            <wp:effectExtent b="0" l="0" r="0" 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943600" cy="3149600"/>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Figure S3: </w:t>
      </w:r>
      <w:r w:rsidDel="00000000" w:rsidR="00000000" w:rsidRPr="00000000">
        <w:rPr>
          <w:rFonts w:ascii="Times New Roman" w:cs="Times New Roman" w:eastAsia="Times New Roman" w:hAnsi="Times New Roman"/>
          <w:rtl w:val="0"/>
        </w:rPr>
        <w:t xml:space="preserve">Heatmap illustrating the standardised expression profiles of the global Green module eigengene (top panel) and the five identified hub genes (</w:t>
      </w:r>
      <w:r w:rsidDel="00000000" w:rsidR="00000000" w:rsidRPr="00000000">
        <w:rPr>
          <w:rFonts w:ascii="Times New Roman" w:cs="Times New Roman" w:eastAsia="Times New Roman" w:hAnsi="Times New Roman"/>
          <w:i w:val="1"/>
          <w:iCs w:val="1"/>
          <w:rtl w:val="0"/>
        </w:rPr>
        <w:t xml:space="preserve">ATP6AP2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CKS1B</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STAMBPL1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SUB1</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i w:val="1"/>
          <w:iCs w:val="1"/>
          <w:rtl w:val="0"/>
        </w:rPr>
        <w:t xml:space="preserve">BET1</w:t>
      </w:r>
      <w:r w:rsidDel="00000000" w:rsidR="00000000" w:rsidRPr="00000000">
        <w:rPr>
          <w:rFonts w:ascii="Times New Roman" w:cs="Times New Roman" w:eastAsia="Times New Roman" w:hAnsi="Times New Roman"/>
          <w:rtl w:val="0"/>
        </w:rPr>
        <w:t xml:space="preserve">; bottom panel) across three clinical stages: healthy controls, asymptomatic Alzheimer's disease (AsymAD), and symptomatic Alzheimer's disease (SymAD). Columns correspond to individual patient samples organised by clinical diagnosis, as indicated by the top annotation bar. The adjacent colour scale represents relative expression levels (Z-scores), ranging from pronounced downregulation (dark purple/black) to marked upregulation (light yellow/white). This visualisation demonstrates the progressive transcriptional changes of the module and its core genes as pathology advances from a healthy baseline through prodromal and late-symptomatic phases.</w:t>
      </w:r>
    </w:p>
    <w:p w:rsidR="00000000" w:rsidDel="00000000" w:rsidP="00000000" w:rsidRDefault="00000000" w:rsidRPr="00000000" w14:paraId="0000002E">
      <w:pPr>
        <w:spacing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F">
      <w:pPr>
        <w:spacing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0">
      <w:pPr>
        <w:spacing w:after="60" w:line="276"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1">
      <w:pPr>
        <w:spacing w:after="60" w:line="276"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2">
      <w:pPr>
        <w:spacing w:after="60" w:line="276"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3">
      <w:pPr>
        <w:spacing w:after="60" w:line="276"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4">
      <w:pPr>
        <w:spacing w:after="60" w:line="276"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5">
      <w:pPr>
        <w:spacing w:after="60" w:line="276"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6">
      <w:pPr>
        <w:spacing w:after="60" w:line="276"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7">
      <w:pPr>
        <w:spacing w:after="60" w:line="276"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8">
      <w:pPr>
        <w:spacing w:after="60" w:line="276"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9">
      <w:pPr>
        <w:spacing w:after="60" w:line="276"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A">
      <w:pPr>
        <w:spacing w:after="60" w:line="276"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B">
      <w:pPr>
        <w:spacing w:after="60" w:line="276" w:lineRule="auto"/>
        <w:jc w:val="both"/>
        <w:rPr>
          <w:rFonts w:ascii="Calibri" w:cs="Calibri" w:eastAsia="Calibri" w:hAnsi="Calibri"/>
          <w:b w:val="1"/>
          <w:bCs w:val="1"/>
          <w:color w:val="333333"/>
          <w:sz w:val="24"/>
          <w:szCs w:val="24"/>
        </w:rPr>
      </w:pPr>
      <w:r w:rsidDel="00000000" w:rsidR="00000000" w:rsidRPr="00000000">
        <w:rPr>
          <w:rFonts w:ascii="Calibri" w:cs="Calibri" w:eastAsia="Calibri" w:hAnsi="Calibri"/>
          <w:b w:val="1"/>
          <w:bCs w:val="1"/>
          <w:sz w:val="24"/>
          <w:szCs w:val="24"/>
          <w:rtl w:val="0"/>
        </w:rPr>
        <w:t xml:space="preserve">Table 1: </w:t>
      </w:r>
      <w:r w:rsidDel="00000000" w:rsidR="00000000" w:rsidRPr="00000000">
        <w:rPr>
          <w:rFonts w:ascii="Calibri" w:cs="Calibri" w:eastAsia="Calibri" w:hAnsi="Calibri"/>
          <w:b w:val="1"/>
          <w:bCs w:val="1"/>
          <w:color w:val="333333"/>
          <w:sz w:val="24"/>
          <w:szCs w:val="24"/>
          <w:rtl w:val="0"/>
        </w:rPr>
        <w:t xml:space="preserve">Supplementary Table S1</w:t>
      </w:r>
    </w:p>
    <w:p w:rsidR="00000000" w:rsidDel="00000000" w:rsidP="00000000" w:rsidRDefault="00000000" w:rsidRPr="00000000" w14:paraId="0000003C">
      <w:pPr>
        <w:spacing w:after="60" w:line="276" w:lineRule="auto"/>
        <w:jc w:val="both"/>
        <w:rPr>
          <w:rFonts w:ascii="Calibri" w:cs="Calibri" w:eastAsia="Calibri" w:hAnsi="Calibri"/>
          <w:b w:val="1"/>
          <w:bCs w:val="1"/>
          <w:color w:val="333333"/>
          <w:sz w:val="20"/>
          <w:szCs w:val="20"/>
        </w:rPr>
      </w:pPr>
      <w:r w:rsidDel="00000000" w:rsidR="00000000" w:rsidRPr="00000000">
        <w:rPr>
          <w:rFonts w:ascii="Calibri" w:cs="Calibri" w:eastAsia="Calibri" w:hAnsi="Calibri"/>
          <w:b w:val="1"/>
          <w:bCs w:val="1"/>
          <w:color w:val="333333"/>
          <w:sz w:val="20"/>
          <w:szCs w:val="20"/>
          <w:rtl w:val="0"/>
        </w:rPr>
        <w:t xml:space="preserve">Cross-Tissue Network Preservation Analysis of Brain-Derived Modules in Peripheral Blood</w:t>
      </w:r>
    </w:p>
    <w:tbl>
      <w:tblPr>
        <w:tblStyle w:val="Table1"/>
        <w:tblW w:w="63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60"/>
        <w:gridCol w:w="2490"/>
        <w:gridCol w:w="2340"/>
        <w:tblGridChange w:id="0">
          <w:tblGrid>
            <w:gridCol w:w="1560"/>
            <w:gridCol w:w="2490"/>
            <w:gridCol w:w="2340"/>
          </w:tblGrid>
        </w:tblGridChange>
      </w:tblGrid>
      <w:tr>
        <w:trPr>
          <w:cantSplit w:val="0"/>
          <w:trHeight w:val="315" w:hRule="atLeast"/>
          <w:tblHeader w:val="0"/>
        </w:trPr>
        <w:tc>
          <w:tcPr>
            <w:tcBorders>
              <w:top w:color="000000" w:space="0" w:sz="18" w:val="single"/>
              <w:left w:color="000000" w:space="0" w:sz="0" w:val="nil"/>
              <w:bottom w:color="000000" w:space="0" w:sz="18" w:val="single"/>
              <w:right w:color="000000" w:space="0" w:sz="0" w:val="nil"/>
            </w:tcBorders>
            <w:tcMar>
              <w:top w:w="0.0" w:type="dxa"/>
              <w:left w:w="60.0" w:type="dxa"/>
              <w:bottom w:w="0.0" w:type="dxa"/>
              <w:right w:w="60.0" w:type="dxa"/>
            </w:tcMar>
            <w:vAlign w:val="top"/>
          </w:tcPr>
          <w:p w:rsidR="00000000" w:rsidDel="00000000" w:rsidP="00000000" w:rsidRDefault="00000000" w:rsidRPr="00000000" w14:paraId="0000003D">
            <w:pPr>
              <w:spacing w:after="60" w:line="276"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Network Module</w:t>
            </w:r>
          </w:p>
        </w:tc>
        <w:tc>
          <w:tcPr>
            <w:tcBorders>
              <w:top w:color="000000" w:space="0" w:sz="18" w:val="single"/>
              <w:left w:color="000000" w:space="0" w:sz="0" w:val="nil"/>
              <w:bottom w:color="000000" w:space="0" w:sz="18" w:val="single"/>
              <w:right w:color="000000" w:space="0" w:sz="0" w:val="nil"/>
            </w:tcBorders>
            <w:tcMar>
              <w:top w:w="0.0" w:type="dxa"/>
              <w:left w:w="60.0" w:type="dxa"/>
              <w:bottom w:w="0.0" w:type="dxa"/>
              <w:right w:w="60.0" w:type="dxa"/>
            </w:tcMar>
            <w:vAlign w:val="top"/>
          </w:tcPr>
          <w:p w:rsidR="00000000" w:rsidDel="00000000" w:rsidP="00000000" w:rsidRDefault="00000000" w:rsidRPr="00000000" w14:paraId="0000003E">
            <w:pPr>
              <w:spacing w:after="60"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Entorinal Cortex (Z-summary)</w:t>
            </w:r>
          </w:p>
        </w:tc>
        <w:tc>
          <w:tcPr>
            <w:tcBorders>
              <w:top w:color="000000" w:space="0" w:sz="18" w:val="single"/>
              <w:left w:color="000000" w:space="0" w:sz="0" w:val="nil"/>
              <w:bottom w:color="000000" w:space="0" w:sz="18" w:val="single"/>
              <w:right w:color="000000" w:space="0" w:sz="0" w:val="nil"/>
            </w:tcBorders>
            <w:tcMar>
              <w:top w:w="0.0" w:type="dxa"/>
              <w:left w:w="60.0" w:type="dxa"/>
              <w:bottom w:w="0.0" w:type="dxa"/>
              <w:right w:w="60.0" w:type="dxa"/>
            </w:tcMar>
            <w:vAlign w:val="top"/>
          </w:tcPr>
          <w:p w:rsidR="00000000" w:rsidDel="00000000" w:rsidP="00000000" w:rsidRDefault="00000000" w:rsidRPr="00000000" w14:paraId="0000003F">
            <w:pPr>
              <w:spacing w:after="60" w:line="276" w:lineRule="auto"/>
              <w:jc w:val="righ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Frontal Cortex (Z-summary)</w:t>
            </w:r>
          </w:p>
        </w:tc>
      </w:tr>
      <w:tr>
        <w:trPr>
          <w:cantSplit w:val="0"/>
          <w:trHeight w:val="315" w:hRule="atLeast"/>
          <w:tblHeader w:val="0"/>
        </w:trPr>
        <w:tc>
          <w:tcPr>
            <w:tcBorders>
              <w:top w:color="000000" w:space="0" w:sz="18" w:val="single"/>
              <w:left w:color="000000" w:space="0" w:sz="0" w:val="nil"/>
              <w:bottom w:color="000000" w:space="0" w:sz="0" w:val="nil"/>
              <w:right w:color="000000" w:space="0" w:sz="0" w:val="nil"/>
            </w:tcBorders>
            <w:tcMar>
              <w:top w:w="0.0" w:type="dxa"/>
              <w:left w:w="60.0" w:type="dxa"/>
              <w:bottom w:w="0.0" w:type="dxa"/>
              <w:right w:w="60.0" w:type="dxa"/>
            </w:tcMar>
            <w:vAlign w:val="top"/>
          </w:tcPr>
          <w:p w:rsidR="00000000" w:rsidDel="00000000" w:rsidP="00000000" w:rsidRDefault="00000000" w:rsidRPr="00000000" w14:paraId="00000040">
            <w:pPr>
              <w:spacing w:after="60" w:line="276"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green</w:t>
            </w:r>
          </w:p>
        </w:tc>
        <w:tc>
          <w:tcPr>
            <w:tcBorders>
              <w:top w:color="000000" w:space="0" w:sz="18" w:val="single"/>
              <w:left w:color="000000" w:space="0" w:sz="0" w:val="nil"/>
              <w:bottom w:color="000000" w:space="0" w:sz="0" w:val="nil"/>
              <w:right w:color="000000" w:space="0" w:sz="0" w:val="nil"/>
            </w:tcBorders>
            <w:tcMar>
              <w:top w:w="0.0" w:type="dxa"/>
              <w:left w:w="60.0" w:type="dxa"/>
              <w:bottom w:w="0.0" w:type="dxa"/>
              <w:right w:w="60.0" w:type="dxa"/>
            </w:tcMar>
            <w:vAlign w:val="top"/>
          </w:tcPr>
          <w:p w:rsidR="00000000" w:rsidDel="00000000" w:rsidP="00000000" w:rsidRDefault="00000000" w:rsidRPr="00000000" w14:paraId="00000041">
            <w:pPr>
              <w:spacing w:after="60" w:line="276" w:lineRule="auto"/>
              <w:jc w:val="righ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15.25</w:t>
            </w:r>
          </w:p>
        </w:tc>
        <w:tc>
          <w:tcPr>
            <w:tcBorders>
              <w:top w:color="000000" w:space="0" w:sz="18" w:val="single"/>
              <w:left w:color="000000" w:space="0" w:sz="0" w:val="nil"/>
              <w:bottom w:color="000000" w:space="0" w:sz="0" w:val="nil"/>
              <w:right w:color="000000" w:space="0" w:sz="0" w:val="nil"/>
            </w:tcBorders>
            <w:tcMar>
              <w:top w:w="0.0" w:type="dxa"/>
              <w:left w:w="60.0" w:type="dxa"/>
              <w:bottom w:w="0.0" w:type="dxa"/>
              <w:right w:w="60.0" w:type="dxa"/>
            </w:tcMar>
            <w:vAlign w:val="top"/>
          </w:tcPr>
          <w:p w:rsidR="00000000" w:rsidDel="00000000" w:rsidP="00000000" w:rsidRDefault="00000000" w:rsidRPr="00000000" w14:paraId="00000042">
            <w:pPr>
              <w:spacing w:after="60" w:line="276" w:lineRule="auto"/>
              <w:jc w:val="righ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10.59</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0.0" w:type="dxa"/>
              <w:left w:w="60.0" w:type="dxa"/>
              <w:bottom w:w="0.0" w:type="dxa"/>
              <w:right w:w="60.0" w:type="dxa"/>
            </w:tcMar>
            <w:vAlign w:val="top"/>
          </w:tcPr>
          <w:p w:rsidR="00000000" w:rsidDel="00000000" w:rsidP="00000000" w:rsidRDefault="00000000" w:rsidRPr="00000000" w14:paraId="00000043">
            <w:pPr>
              <w:spacing w:after="60"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yellow</w:t>
            </w:r>
          </w:p>
        </w:tc>
        <w:tc>
          <w:tcPr>
            <w:tcBorders>
              <w:top w:color="000000" w:space="0" w:sz="0" w:val="nil"/>
              <w:left w:color="000000" w:space="0" w:sz="0" w:val="nil"/>
              <w:bottom w:color="000000" w:space="0" w:sz="0" w:val="nil"/>
              <w:right w:color="000000" w:space="0" w:sz="0" w:val="nil"/>
            </w:tcBorders>
            <w:tcMar>
              <w:top w:w="0.0" w:type="dxa"/>
              <w:left w:w="60.0" w:type="dxa"/>
              <w:bottom w:w="0.0" w:type="dxa"/>
              <w:right w:w="60.0" w:type="dxa"/>
            </w:tcMar>
            <w:vAlign w:val="top"/>
          </w:tcPr>
          <w:p w:rsidR="00000000" w:rsidDel="00000000" w:rsidP="00000000" w:rsidRDefault="00000000" w:rsidRPr="00000000" w14:paraId="00000044">
            <w:pPr>
              <w:spacing w:after="60" w:line="276"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4.47</w:t>
            </w:r>
          </w:p>
        </w:tc>
        <w:tc>
          <w:tcPr>
            <w:tcBorders>
              <w:top w:color="000000" w:space="0" w:sz="0" w:val="nil"/>
              <w:left w:color="000000" w:space="0" w:sz="0" w:val="nil"/>
              <w:bottom w:color="000000" w:space="0" w:sz="0" w:val="nil"/>
              <w:right w:color="000000" w:space="0" w:sz="0" w:val="nil"/>
            </w:tcBorders>
            <w:tcMar>
              <w:top w:w="0.0" w:type="dxa"/>
              <w:left w:w="60.0" w:type="dxa"/>
              <w:bottom w:w="0.0" w:type="dxa"/>
              <w:right w:w="60.0" w:type="dxa"/>
            </w:tcMar>
            <w:vAlign w:val="top"/>
          </w:tcPr>
          <w:p w:rsidR="00000000" w:rsidDel="00000000" w:rsidP="00000000" w:rsidRDefault="00000000" w:rsidRPr="00000000" w14:paraId="00000045">
            <w:pPr>
              <w:spacing w:after="60" w:line="276"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2.10</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0.0" w:type="dxa"/>
              <w:left w:w="60.0" w:type="dxa"/>
              <w:bottom w:w="0.0" w:type="dxa"/>
              <w:right w:w="60.0" w:type="dxa"/>
            </w:tcMar>
            <w:vAlign w:val="top"/>
          </w:tcPr>
          <w:p w:rsidR="00000000" w:rsidDel="00000000" w:rsidP="00000000" w:rsidRDefault="00000000" w:rsidRPr="00000000" w14:paraId="00000046">
            <w:pPr>
              <w:spacing w:after="60"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blue</w:t>
            </w:r>
          </w:p>
        </w:tc>
        <w:tc>
          <w:tcPr>
            <w:tcBorders>
              <w:top w:color="000000" w:space="0" w:sz="0" w:val="nil"/>
              <w:left w:color="000000" w:space="0" w:sz="0" w:val="nil"/>
              <w:bottom w:color="000000" w:space="0" w:sz="0" w:val="nil"/>
              <w:right w:color="000000" w:space="0" w:sz="0" w:val="nil"/>
            </w:tcBorders>
            <w:tcMar>
              <w:top w:w="0.0" w:type="dxa"/>
              <w:left w:w="60.0" w:type="dxa"/>
              <w:bottom w:w="0.0" w:type="dxa"/>
              <w:right w:w="60.0" w:type="dxa"/>
            </w:tcMar>
            <w:vAlign w:val="top"/>
          </w:tcPr>
          <w:p w:rsidR="00000000" w:rsidDel="00000000" w:rsidP="00000000" w:rsidRDefault="00000000" w:rsidRPr="00000000" w14:paraId="00000047">
            <w:pPr>
              <w:spacing w:after="60" w:line="276"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2.36</w:t>
            </w:r>
          </w:p>
        </w:tc>
        <w:tc>
          <w:tcPr>
            <w:tcBorders>
              <w:top w:color="000000" w:space="0" w:sz="0" w:val="nil"/>
              <w:left w:color="000000" w:space="0" w:sz="0" w:val="nil"/>
              <w:bottom w:color="000000" w:space="0" w:sz="0" w:val="nil"/>
              <w:right w:color="000000" w:space="0" w:sz="0" w:val="nil"/>
            </w:tcBorders>
            <w:tcMar>
              <w:top w:w="0.0" w:type="dxa"/>
              <w:left w:w="60.0" w:type="dxa"/>
              <w:bottom w:w="0.0" w:type="dxa"/>
              <w:right w:w="60.0" w:type="dxa"/>
            </w:tcMar>
            <w:vAlign w:val="top"/>
          </w:tcPr>
          <w:p w:rsidR="00000000" w:rsidDel="00000000" w:rsidP="00000000" w:rsidRDefault="00000000" w:rsidRPr="00000000" w14:paraId="00000048">
            <w:pPr>
              <w:spacing w:after="60" w:line="276"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0.75</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0.0" w:type="dxa"/>
              <w:left w:w="60.0" w:type="dxa"/>
              <w:bottom w:w="0.0" w:type="dxa"/>
              <w:right w:w="60.0" w:type="dxa"/>
            </w:tcMar>
            <w:vAlign w:val="top"/>
          </w:tcPr>
          <w:p w:rsidR="00000000" w:rsidDel="00000000" w:rsidP="00000000" w:rsidRDefault="00000000" w:rsidRPr="00000000" w14:paraId="00000049">
            <w:pPr>
              <w:spacing w:after="60"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magenta</w:t>
            </w:r>
          </w:p>
        </w:tc>
        <w:tc>
          <w:tcPr>
            <w:tcBorders>
              <w:top w:color="000000" w:space="0" w:sz="0" w:val="nil"/>
              <w:left w:color="000000" w:space="0" w:sz="0" w:val="nil"/>
              <w:bottom w:color="000000" w:space="0" w:sz="0" w:val="nil"/>
              <w:right w:color="000000" w:space="0" w:sz="0" w:val="nil"/>
            </w:tcBorders>
            <w:tcMar>
              <w:top w:w="0.0" w:type="dxa"/>
              <w:left w:w="60.0" w:type="dxa"/>
              <w:bottom w:w="0.0" w:type="dxa"/>
              <w:right w:w="60.0" w:type="dxa"/>
            </w:tcMar>
            <w:vAlign w:val="top"/>
          </w:tcPr>
          <w:p w:rsidR="00000000" w:rsidDel="00000000" w:rsidP="00000000" w:rsidRDefault="00000000" w:rsidRPr="00000000" w14:paraId="0000004A">
            <w:pPr>
              <w:spacing w:after="60" w:line="276"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2.32</w:t>
            </w:r>
          </w:p>
        </w:tc>
        <w:tc>
          <w:tcPr>
            <w:tcBorders>
              <w:top w:color="000000" w:space="0" w:sz="0" w:val="nil"/>
              <w:left w:color="000000" w:space="0" w:sz="0" w:val="nil"/>
              <w:bottom w:color="000000" w:space="0" w:sz="0" w:val="nil"/>
              <w:right w:color="000000" w:space="0" w:sz="0" w:val="nil"/>
            </w:tcBorders>
            <w:tcMar>
              <w:top w:w="0.0" w:type="dxa"/>
              <w:left w:w="60.0" w:type="dxa"/>
              <w:bottom w:w="0.0" w:type="dxa"/>
              <w:right w:w="60.0" w:type="dxa"/>
            </w:tcMar>
            <w:vAlign w:val="top"/>
          </w:tcPr>
          <w:p w:rsidR="00000000" w:rsidDel="00000000" w:rsidP="00000000" w:rsidRDefault="00000000" w:rsidRPr="00000000" w14:paraId="0000004B">
            <w:pPr>
              <w:spacing w:after="60" w:line="276"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0.0" w:type="dxa"/>
              <w:left w:w="60.0" w:type="dxa"/>
              <w:bottom w:w="0.0" w:type="dxa"/>
              <w:right w:w="60.0" w:type="dxa"/>
            </w:tcMar>
            <w:vAlign w:val="top"/>
          </w:tcPr>
          <w:p w:rsidR="00000000" w:rsidDel="00000000" w:rsidP="00000000" w:rsidRDefault="00000000" w:rsidRPr="00000000" w14:paraId="0000004C">
            <w:pPr>
              <w:spacing w:after="60"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gold</w:t>
            </w:r>
          </w:p>
        </w:tc>
        <w:tc>
          <w:tcPr>
            <w:tcBorders>
              <w:top w:color="000000" w:space="0" w:sz="0" w:val="nil"/>
              <w:left w:color="000000" w:space="0" w:sz="0" w:val="nil"/>
              <w:bottom w:color="000000" w:space="0" w:sz="0" w:val="nil"/>
              <w:right w:color="000000" w:space="0" w:sz="0" w:val="nil"/>
            </w:tcBorders>
            <w:tcMar>
              <w:top w:w="0.0" w:type="dxa"/>
              <w:left w:w="60.0" w:type="dxa"/>
              <w:bottom w:w="0.0" w:type="dxa"/>
              <w:right w:w="60.0" w:type="dxa"/>
            </w:tcMar>
            <w:vAlign w:val="top"/>
          </w:tcPr>
          <w:p w:rsidR="00000000" w:rsidDel="00000000" w:rsidP="00000000" w:rsidRDefault="00000000" w:rsidRPr="00000000" w14:paraId="0000004D">
            <w:pPr>
              <w:spacing w:after="60" w:line="276"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1.80</w:t>
            </w:r>
          </w:p>
        </w:tc>
        <w:tc>
          <w:tcPr>
            <w:tcBorders>
              <w:top w:color="000000" w:space="0" w:sz="0" w:val="nil"/>
              <w:left w:color="000000" w:space="0" w:sz="0" w:val="nil"/>
              <w:bottom w:color="000000" w:space="0" w:sz="0" w:val="nil"/>
              <w:right w:color="000000" w:space="0" w:sz="0" w:val="nil"/>
            </w:tcBorders>
            <w:tcMar>
              <w:top w:w="0.0" w:type="dxa"/>
              <w:left w:w="60.0" w:type="dxa"/>
              <w:bottom w:w="0.0" w:type="dxa"/>
              <w:right w:w="60.0" w:type="dxa"/>
            </w:tcMar>
            <w:vAlign w:val="top"/>
          </w:tcPr>
          <w:p w:rsidR="00000000" w:rsidDel="00000000" w:rsidP="00000000" w:rsidRDefault="00000000" w:rsidRPr="00000000" w14:paraId="0000004E">
            <w:pPr>
              <w:spacing w:after="60" w:line="276"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3.51</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0.0" w:type="dxa"/>
              <w:left w:w="60.0" w:type="dxa"/>
              <w:bottom w:w="0.0" w:type="dxa"/>
              <w:right w:w="60.0" w:type="dxa"/>
            </w:tcMar>
            <w:vAlign w:val="top"/>
          </w:tcPr>
          <w:p w:rsidR="00000000" w:rsidDel="00000000" w:rsidP="00000000" w:rsidRDefault="00000000" w:rsidRPr="00000000" w14:paraId="0000004F">
            <w:pPr>
              <w:spacing w:after="60"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turquoise</w:t>
            </w:r>
          </w:p>
        </w:tc>
        <w:tc>
          <w:tcPr>
            <w:tcBorders>
              <w:top w:color="000000" w:space="0" w:sz="0" w:val="nil"/>
              <w:left w:color="000000" w:space="0" w:sz="0" w:val="nil"/>
              <w:bottom w:color="000000" w:space="0" w:sz="0" w:val="nil"/>
              <w:right w:color="000000" w:space="0" w:sz="0" w:val="nil"/>
            </w:tcBorders>
            <w:tcMar>
              <w:top w:w="0.0" w:type="dxa"/>
              <w:left w:w="60.0" w:type="dxa"/>
              <w:bottom w:w="0.0" w:type="dxa"/>
              <w:right w:w="60.0" w:type="dxa"/>
            </w:tcMar>
            <w:vAlign w:val="top"/>
          </w:tcPr>
          <w:p w:rsidR="00000000" w:rsidDel="00000000" w:rsidP="00000000" w:rsidRDefault="00000000" w:rsidRPr="00000000" w14:paraId="00000050">
            <w:pPr>
              <w:spacing w:after="60" w:line="276"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0.49</w:t>
            </w:r>
          </w:p>
        </w:tc>
        <w:tc>
          <w:tcPr>
            <w:tcBorders>
              <w:top w:color="000000" w:space="0" w:sz="0" w:val="nil"/>
              <w:left w:color="000000" w:space="0" w:sz="0" w:val="nil"/>
              <w:bottom w:color="000000" w:space="0" w:sz="0" w:val="nil"/>
              <w:right w:color="000000" w:space="0" w:sz="0" w:val="nil"/>
            </w:tcBorders>
            <w:tcMar>
              <w:top w:w="0.0" w:type="dxa"/>
              <w:left w:w="60.0" w:type="dxa"/>
              <w:bottom w:w="0.0" w:type="dxa"/>
              <w:right w:w="60.0" w:type="dxa"/>
            </w:tcMar>
            <w:vAlign w:val="top"/>
          </w:tcPr>
          <w:p w:rsidR="00000000" w:rsidDel="00000000" w:rsidP="00000000" w:rsidRDefault="00000000" w:rsidRPr="00000000" w14:paraId="00000051">
            <w:pPr>
              <w:spacing w:after="60" w:line="276"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7.81</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0.0" w:type="dxa"/>
              <w:left w:w="60.0" w:type="dxa"/>
              <w:bottom w:w="0.0" w:type="dxa"/>
              <w:right w:w="60.0" w:type="dxa"/>
            </w:tcMar>
            <w:vAlign w:val="top"/>
          </w:tcPr>
          <w:p w:rsidR="00000000" w:rsidDel="00000000" w:rsidP="00000000" w:rsidRDefault="00000000" w:rsidRPr="00000000" w14:paraId="00000052">
            <w:pPr>
              <w:spacing w:after="60"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brown</w:t>
            </w:r>
          </w:p>
        </w:tc>
        <w:tc>
          <w:tcPr>
            <w:tcBorders>
              <w:top w:color="000000" w:space="0" w:sz="0" w:val="nil"/>
              <w:left w:color="000000" w:space="0" w:sz="0" w:val="nil"/>
              <w:bottom w:color="000000" w:space="0" w:sz="0" w:val="nil"/>
              <w:right w:color="000000" w:space="0" w:sz="0" w:val="nil"/>
            </w:tcBorders>
            <w:tcMar>
              <w:top w:w="0.0" w:type="dxa"/>
              <w:left w:w="60.0" w:type="dxa"/>
              <w:bottom w:w="0.0" w:type="dxa"/>
              <w:right w:w="60.0" w:type="dxa"/>
            </w:tcMar>
            <w:vAlign w:val="top"/>
          </w:tcPr>
          <w:p w:rsidR="00000000" w:rsidDel="00000000" w:rsidP="00000000" w:rsidRDefault="00000000" w:rsidRPr="00000000" w14:paraId="00000053">
            <w:pPr>
              <w:spacing w:after="60" w:line="276"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0.36</w:t>
            </w:r>
          </w:p>
        </w:tc>
        <w:tc>
          <w:tcPr>
            <w:tcBorders>
              <w:top w:color="000000" w:space="0" w:sz="0" w:val="nil"/>
              <w:left w:color="000000" w:space="0" w:sz="0" w:val="nil"/>
              <w:bottom w:color="000000" w:space="0" w:sz="0" w:val="nil"/>
              <w:right w:color="000000" w:space="0" w:sz="0" w:val="nil"/>
            </w:tcBorders>
            <w:tcMar>
              <w:top w:w="0.0" w:type="dxa"/>
              <w:left w:w="60.0" w:type="dxa"/>
              <w:bottom w:w="0.0" w:type="dxa"/>
              <w:right w:w="60.0" w:type="dxa"/>
            </w:tcMar>
            <w:vAlign w:val="top"/>
          </w:tcPr>
          <w:p w:rsidR="00000000" w:rsidDel="00000000" w:rsidP="00000000" w:rsidRDefault="00000000" w:rsidRPr="00000000" w14:paraId="00000054">
            <w:pPr>
              <w:spacing w:after="60" w:line="276"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0.0" w:type="dxa"/>
              <w:left w:w="60.0" w:type="dxa"/>
              <w:bottom w:w="0.0" w:type="dxa"/>
              <w:right w:w="60.0" w:type="dxa"/>
            </w:tcMar>
            <w:vAlign w:val="top"/>
          </w:tcPr>
          <w:p w:rsidR="00000000" w:rsidDel="00000000" w:rsidP="00000000" w:rsidRDefault="00000000" w:rsidRPr="00000000" w14:paraId="00000055">
            <w:pPr>
              <w:spacing w:after="60"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purple</w:t>
            </w:r>
          </w:p>
        </w:tc>
        <w:tc>
          <w:tcPr>
            <w:tcBorders>
              <w:top w:color="000000" w:space="0" w:sz="0" w:val="nil"/>
              <w:left w:color="000000" w:space="0" w:sz="0" w:val="nil"/>
              <w:bottom w:color="000000" w:space="0" w:sz="0" w:val="nil"/>
              <w:right w:color="000000" w:space="0" w:sz="0" w:val="nil"/>
            </w:tcBorders>
            <w:tcMar>
              <w:top w:w="0.0" w:type="dxa"/>
              <w:left w:w="60.0" w:type="dxa"/>
              <w:bottom w:w="0.0" w:type="dxa"/>
              <w:right w:w="60.0" w:type="dxa"/>
            </w:tcMar>
            <w:vAlign w:val="top"/>
          </w:tcPr>
          <w:p w:rsidR="00000000" w:rsidDel="00000000" w:rsidP="00000000" w:rsidRDefault="00000000" w:rsidRPr="00000000" w14:paraId="00000056">
            <w:pPr>
              <w:spacing w:after="60" w:line="276"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0.09</w:t>
            </w:r>
          </w:p>
        </w:tc>
        <w:tc>
          <w:tcPr>
            <w:tcBorders>
              <w:top w:color="000000" w:space="0" w:sz="0" w:val="nil"/>
              <w:left w:color="000000" w:space="0" w:sz="0" w:val="nil"/>
              <w:bottom w:color="000000" w:space="0" w:sz="0" w:val="nil"/>
              <w:right w:color="000000" w:space="0" w:sz="0" w:val="nil"/>
            </w:tcBorders>
            <w:tcMar>
              <w:top w:w="0.0" w:type="dxa"/>
              <w:left w:w="60.0" w:type="dxa"/>
              <w:bottom w:w="0.0" w:type="dxa"/>
              <w:right w:w="60.0" w:type="dxa"/>
            </w:tcMar>
            <w:vAlign w:val="top"/>
          </w:tcPr>
          <w:p w:rsidR="00000000" w:rsidDel="00000000" w:rsidP="00000000" w:rsidRDefault="00000000" w:rsidRPr="00000000" w14:paraId="00000057">
            <w:pPr>
              <w:spacing w:after="60" w:line="276"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0.0" w:type="dxa"/>
              <w:left w:w="60.0" w:type="dxa"/>
              <w:bottom w:w="0.0" w:type="dxa"/>
              <w:right w:w="60.0" w:type="dxa"/>
            </w:tcMar>
            <w:vAlign w:val="top"/>
          </w:tcPr>
          <w:p w:rsidR="00000000" w:rsidDel="00000000" w:rsidP="00000000" w:rsidRDefault="00000000" w:rsidRPr="00000000" w14:paraId="00000058">
            <w:pPr>
              <w:spacing w:after="60"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red</w:t>
            </w:r>
          </w:p>
        </w:tc>
        <w:tc>
          <w:tcPr>
            <w:tcBorders>
              <w:top w:color="000000" w:space="0" w:sz="0" w:val="nil"/>
              <w:left w:color="000000" w:space="0" w:sz="0" w:val="nil"/>
              <w:bottom w:color="000000" w:space="0" w:sz="0" w:val="nil"/>
              <w:right w:color="000000" w:space="0" w:sz="0" w:val="nil"/>
            </w:tcBorders>
            <w:tcMar>
              <w:top w:w="0.0" w:type="dxa"/>
              <w:left w:w="60.0" w:type="dxa"/>
              <w:bottom w:w="0.0" w:type="dxa"/>
              <w:right w:w="60.0" w:type="dxa"/>
            </w:tcMar>
            <w:vAlign w:val="top"/>
          </w:tcPr>
          <w:p w:rsidR="00000000" w:rsidDel="00000000" w:rsidP="00000000" w:rsidRDefault="00000000" w:rsidRPr="00000000" w14:paraId="00000059">
            <w:pPr>
              <w:spacing w:after="60" w:line="276"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-0.13</w:t>
            </w:r>
          </w:p>
        </w:tc>
        <w:tc>
          <w:tcPr>
            <w:tcBorders>
              <w:top w:color="000000" w:space="0" w:sz="0" w:val="nil"/>
              <w:left w:color="000000" w:space="0" w:sz="0" w:val="nil"/>
              <w:bottom w:color="000000" w:space="0" w:sz="0" w:val="nil"/>
              <w:right w:color="000000" w:space="0" w:sz="0" w:val="nil"/>
            </w:tcBorders>
            <w:tcMar>
              <w:top w:w="0.0" w:type="dxa"/>
              <w:left w:w="60.0" w:type="dxa"/>
              <w:bottom w:w="0.0" w:type="dxa"/>
              <w:right w:w="60.0" w:type="dxa"/>
            </w:tcMar>
            <w:vAlign w:val="top"/>
          </w:tcPr>
          <w:p w:rsidR="00000000" w:rsidDel="00000000" w:rsidP="00000000" w:rsidRDefault="00000000" w:rsidRPr="00000000" w14:paraId="0000005A">
            <w:pPr>
              <w:spacing w:after="60" w:line="276"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-0.96</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0.0" w:type="dxa"/>
              <w:left w:w="60.0" w:type="dxa"/>
              <w:bottom w:w="0.0" w:type="dxa"/>
              <w:right w:w="60.0" w:type="dxa"/>
            </w:tcMar>
            <w:vAlign w:val="top"/>
          </w:tcPr>
          <w:p w:rsidR="00000000" w:rsidDel="00000000" w:rsidP="00000000" w:rsidRDefault="00000000" w:rsidRPr="00000000" w14:paraId="0000005B">
            <w:pPr>
              <w:spacing w:after="60"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black</w:t>
            </w:r>
          </w:p>
        </w:tc>
        <w:tc>
          <w:tcPr>
            <w:tcBorders>
              <w:top w:color="000000" w:space="0" w:sz="0" w:val="nil"/>
              <w:left w:color="000000" w:space="0" w:sz="0" w:val="nil"/>
              <w:bottom w:color="000000" w:space="0" w:sz="0" w:val="nil"/>
              <w:right w:color="000000" w:space="0" w:sz="0" w:val="nil"/>
            </w:tcBorders>
            <w:tcMar>
              <w:top w:w="0.0" w:type="dxa"/>
              <w:left w:w="60.0" w:type="dxa"/>
              <w:bottom w:w="0.0" w:type="dxa"/>
              <w:right w:w="60.0" w:type="dxa"/>
            </w:tcMar>
            <w:vAlign w:val="top"/>
          </w:tcPr>
          <w:p w:rsidR="00000000" w:rsidDel="00000000" w:rsidP="00000000" w:rsidRDefault="00000000" w:rsidRPr="00000000" w14:paraId="0000005C">
            <w:pPr>
              <w:spacing w:after="60" w:line="276"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-0.45</w:t>
            </w:r>
          </w:p>
        </w:tc>
        <w:tc>
          <w:tcPr>
            <w:tcBorders>
              <w:top w:color="000000" w:space="0" w:sz="0" w:val="nil"/>
              <w:left w:color="000000" w:space="0" w:sz="0" w:val="nil"/>
              <w:bottom w:color="000000" w:space="0" w:sz="0" w:val="nil"/>
              <w:right w:color="000000" w:space="0" w:sz="0" w:val="nil"/>
            </w:tcBorders>
            <w:tcMar>
              <w:top w:w="0.0" w:type="dxa"/>
              <w:left w:w="60.0" w:type="dxa"/>
              <w:bottom w:w="0.0" w:type="dxa"/>
              <w:right w:w="60.0" w:type="dxa"/>
            </w:tcMar>
            <w:vAlign w:val="top"/>
          </w:tcPr>
          <w:p w:rsidR="00000000" w:rsidDel="00000000" w:rsidP="00000000" w:rsidRDefault="00000000" w:rsidRPr="00000000" w14:paraId="0000005D">
            <w:pPr>
              <w:spacing w:after="60" w:line="276"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1.83</w:t>
            </w:r>
          </w:p>
        </w:tc>
      </w:tr>
      <w:tr>
        <w:trPr>
          <w:cantSplit w:val="0"/>
          <w:trHeight w:val="315" w:hRule="atLeast"/>
          <w:tblHeader w:val="0"/>
        </w:trPr>
        <w:tc>
          <w:tcPr>
            <w:tcBorders>
              <w:top w:color="000000" w:space="0" w:sz="0" w:val="nil"/>
              <w:left w:color="000000" w:space="0" w:sz="0" w:val="nil"/>
              <w:bottom w:color="000000" w:space="0" w:sz="18" w:val="single"/>
              <w:right w:color="000000" w:space="0" w:sz="0" w:val="nil"/>
            </w:tcBorders>
            <w:tcMar>
              <w:top w:w="0.0" w:type="dxa"/>
              <w:left w:w="60.0" w:type="dxa"/>
              <w:bottom w:w="0.0" w:type="dxa"/>
              <w:right w:w="60.0" w:type="dxa"/>
            </w:tcMar>
            <w:vAlign w:val="top"/>
          </w:tcPr>
          <w:p w:rsidR="00000000" w:rsidDel="00000000" w:rsidP="00000000" w:rsidRDefault="00000000" w:rsidRPr="00000000" w14:paraId="0000005E">
            <w:pPr>
              <w:spacing w:after="60"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pink</w:t>
            </w:r>
          </w:p>
        </w:tc>
        <w:tc>
          <w:tcPr>
            <w:tcBorders>
              <w:top w:color="000000" w:space="0" w:sz="0" w:val="nil"/>
              <w:left w:color="000000" w:space="0" w:sz="0" w:val="nil"/>
              <w:bottom w:color="000000" w:space="0" w:sz="18" w:val="single"/>
              <w:right w:color="000000" w:space="0" w:sz="0" w:val="nil"/>
            </w:tcBorders>
            <w:tcMar>
              <w:top w:w="0.0" w:type="dxa"/>
              <w:left w:w="60.0" w:type="dxa"/>
              <w:bottom w:w="0.0" w:type="dxa"/>
              <w:right w:w="60.0" w:type="dxa"/>
            </w:tcMar>
            <w:vAlign w:val="top"/>
          </w:tcPr>
          <w:p w:rsidR="00000000" w:rsidDel="00000000" w:rsidP="00000000" w:rsidRDefault="00000000" w:rsidRPr="00000000" w14:paraId="0000005F">
            <w:pPr>
              <w:spacing w:after="60" w:line="276"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-1.03</w:t>
            </w:r>
          </w:p>
        </w:tc>
        <w:tc>
          <w:tcPr>
            <w:tcBorders>
              <w:top w:color="000000" w:space="0" w:sz="0" w:val="nil"/>
              <w:left w:color="000000" w:space="0" w:sz="0" w:val="nil"/>
              <w:bottom w:color="000000" w:space="0" w:sz="18" w:val="single"/>
              <w:right w:color="000000" w:space="0" w:sz="0" w:val="nil"/>
            </w:tcBorders>
            <w:tcMar>
              <w:top w:w="0.0" w:type="dxa"/>
              <w:left w:w="60.0" w:type="dxa"/>
              <w:bottom w:w="0.0" w:type="dxa"/>
              <w:right w:w="60.0" w:type="dxa"/>
            </w:tcMar>
            <w:vAlign w:val="top"/>
          </w:tcPr>
          <w:p w:rsidR="00000000" w:rsidDel="00000000" w:rsidP="00000000" w:rsidRDefault="00000000" w:rsidRPr="00000000" w14:paraId="00000060">
            <w:pPr>
              <w:spacing w:after="60" w:line="276"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r>
    </w:tbl>
    <w:p w:rsidR="00000000" w:rsidDel="00000000" w:rsidP="00000000" w:rsidRDefault="00000000" w:rsidRPr="00000000" w14:paraId="00000061">
      <w:pPr>
        <w:spacing w:line="276" w:lineRule="auto"/>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