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3009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0262B429" wp14:editId="1FA63B79">
            <wp:extent cx="4526280" cy="1499870"/>
            <wp:effectExtent l="0" t="0" r="7620" b="5080"/>
            <wp:docPr id="27" name="图片 27" descr="Figure S1 (Related to Fig.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igure S1 (Related to Fig. 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78B5C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S1 | Short-term exercise does not alter body weight, body composition or metabolic parameters.  </w:t>
      </w:r>
    </w:p>
    <w:p w14:paraId="30EA03D7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Body weight of sedentary and exercised mice after 2 weeks of training (n=6). b, Body composition analysis by MRI in sedentary and exercised mice (n=6). c, Fasting blood glucose levels of sedentary and exercised mice (n=6). d</w:t>
      </w:r>
      <w:r>
        <w:rPr>
          <w:rFonts w:ascii="Times New Roman" w:hAnsi="Times New Roman" w:cs="Times New Roman" w:hint="eastAsia"/>
          <w:sz w:val="24"/>
          <w:szCs w:val="24"/>
        </w:rPr>
        <w:t>-e</w:t>
      </w:r>
      <w:r>
        <w:rPr>
          <w:rFonts w:ascii="Times New Roman" w:hAnsi="Times New Roman" w:cs="Times New Roman"/>
          <w:sz w:val="24"/>
          <w:szCs w:val="24"/>
        </w:rPr>
        <w:t xml:space="preserve">, Serum </w:t>
      </w:r>
      <w:r>
        <w:rPr>
          <w:rFonts w:ascii="Times New Roman" w:hAnsi="Times New Roman" w:cs="Times New Roman" w:hint="eastAsia"/>
          <w:sz w:val="24"/>
          <w:szCs w:val="24"/>
        </w:rPr>
        <w:t>TG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FFA </w:t>
      </w:r>
      <w:r>
        <w:rPr>
          <w:rFonts w:ascii="Times New Roman" w:hAnsi="Times New Roman" w:cs="Times New Roman"/>
          <w:sz w:val="24"/>
          <w:szCs w:val="24"/>
        </w:rPr>
        <w:t>levels of sedentary and exercised mice (n=6)</w:t>
      </w:r>
    </w:p>
    <w:p w14:paraId="1CA22A85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114300" distR="114300" wp14:anchorId="47445BBD" wp14:editId="248036C8">
            <wp:extent cx="5270500" cy="4222115"/>
            <wp:effectExtent l="0" t="0" r="6350" b="6985"/>
            <wp:docPr id="41" name="图片 41" descr="Figure S2 (Related to Fig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Figure S2 (Related to Fig 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5FAE0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Extended Data 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| Exercise does not alter the expansion of eWAT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during obesity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14:paraId="5BB60C96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Representative gross morphology (left) and eWAT weight (right) of sedentary and exercised mice fed with Ctrl or HFD (n=6). b, H&amp;E staining of eWAT sections from sedentary and exercised mice.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c, Immunofluorescence analysis and quantification of TOMATO-labelled PDGFRα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lineage cells and Plin2 in eWAT sections (n=4). d, Immunofluorescence analysis and quantification of BrdU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TOMATO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in eWAT sections (n=4). e, H&amp;E staining (left) and hepatic triglyceride levels (right)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(n=6). f, Serum AST and ALT levels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(n=6). Data are presented as mean ± s.e.m. Statistical significance was determined by two-tailed unpaired Student's t-test. P &lt; 0.05, P &lt; 0.0001; ns, not significant.</w:t>
      </w:r>
    </w:p>
    <w:p w14:paraId="720DAC95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114300" distR="114300" wp14:anchorId="65C25751" wp14:editId="6B9CB542">
            <wp:extent cx="5271770" cy="1413510"/>
            <wp:effectExtent l="0" t="0" r="5080" b="15240"/>
            <wp:docPr id="20" name="图片 20" descr="Figure S3 (Related to Fig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igure S3 (Related to Fig 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2C505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Extended Data 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| Construction of PDGFRα-lineage reporter mice.  </w:t>
      </w:r>
    </w:p>
    <w:p w14:paraId="2C6D1215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Schematic diagram depicting the construction of PDGFRα-lineage reporter mice. Rosa26-Tomatoflox/flox mice were crossed with P</w:t>
      </w:r>
      <w:r>
        <w:rPr>
          <w:rFonts w:ascii="Times New Roman" w:hAnsi="Times New Roman" w:cs="Times New Roman" w:hint="eastAsia"/>
          <w:sz w:val="24"/>
          <w:szCs w:val="24"/>
        </w:rPr>
        <w:t>dgfr</w:t>
      </w:r>
      <w:r>
        <w:rPr>
          <w:rFonts w:ascii="Times New Roman" w:hAnsi="Times New Roman" w:cs="Times New Roman"/>
          <w:sz w:val="24"/>
          <w:szCs w:val="24"/>
        </w:rPr>
        <w:t>α-Cre</w:t>
      </w:r>
      <w:r>
        <w:rPr>
          <w:rFonts w:ascii="Times New Roman" w:hAnsi="Times New Roman" w:cs="Times New Roman" w:hint="eastAsia"/>
          <w:sz w:val="24"/>
          <w:szCs w:val="24"/>
        </w:rPr>
        <w:t>ERT2</w:t>
      </w:r>
      <w:r>
        <w:rPr>
          <w:rFonts w:ascii="Times New Roman" w:hAnsi="Times New Roman" w:cs="Times New Roman"/>
          <w:sz w:val="24"/>
          <w:szCs w:val="24"/>
        </w:rPr>
        <w:t xml:space="preserve"> mice to label PDGFRα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with TOMATO fluorescence. b, Immunofluorescence analysis of TOMATO (red) and PDGFRα (green) in sWAT and eWAT sections from the lineage reporter mice.</w:t>
      </w:r>
    </w:p>
    <w:p w14:paraId="6F5B6B1F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75E2A853" wp14:editId="13606207">
            <wp:extent cx="5273675" cy="1381760"/>
            <wp:effectExtent l="0" t="0" r="3175" b="8890"/>
            <wp:docPr id="26" name="图片 26" descr="Figure S4 (Related to Fig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Figure S4 (Related to Fig 2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966A5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Extended Data Fig. S4 | Transcriptomic analysis of BrdU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APCs in sWAT and FGFs expression in muscle.  </w:t>
      </w:r>
    </w:p>
    <w:p w14:paraId="4C538E73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Volcano plot indicating the (DEGs in BrdU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APCs isolated from sWAT of exercised versus sedentary mice. Red dots denote significantly upregulated genes; blue dots denote significantly downregulated genes; grey dots indicate genes with no significant difference. b, Relative mRNA levels of FGF family members in the muscle of exercised and sedentary mice (n=6). Data are presented as mean ± s.e.m. Statistical significance was determined by two-tailed unpaired Student's t-test. P &lt; 0.05, P &lt; 0.001.</w:t>
      </w:r>
    </w:p>
    <w:p w14:paraId="3C8CA8B2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114300" distR="114300" wp14:anchorId="739D7357" wp14:editId="7A5ED7C6">
            <wp:extent cx="5273040" cy="1100455"/>
            <wp:effectExtent l="0" t="0" r="3810" b="4445"/>
            <wp:docPr id="30" name="图片 30" descr="Figure S5 (Related to Fig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Figure S5 (Related to Fig 2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0831C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S5 | Generation and validation of muscle-specific FGF9 knockout mice.  </w:t>
      </w:r>
    </w:p>
    <w:p w14:paraId="0F22D032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Schematic diagram depicting the generation of muscle-specific FGF9 knockout (FGF9-KO) mice by crossing Fgf9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flox/flox</w:t>
      </w:r>
      <w:r>
        <w:rPr>
          <w:rFonts w:ascii="Times New Roman" w:hAnsi="Times New Roman" w:cs="Times New Roman"/>
          <w:sz w:val="24"/>
          <w:szCs w:val="24"/>
        </w:rPr>
        <w:t xml:space="preserve"> mice with MLC-Cre mice. b-c, Verification of FGF9 knockout efficiency. Relative mRNA levels (b) and Western blot analysis (c) of FGF9 in the muscle of Ctrl and FGF9-KO mice (n=6). d, Body composition analysis of Ctrl and FGF9-KO mice by MRI (n=6). e, Fat pad weights of sWAT and eWAT of Ctrl and FGF9-KO mice (n=6). Data are presented as mean ± s.e.m. Statistical significance was determined by two-tailed unpaired Student's t-test. P &lt; 0.05, P &lt; 0.01, P &lt; 0.0001; ns, not significant.</w:t>
      </w:r>
    </w:p>
    <w:p w14:paraId="4599CDEE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2388BAD9" wp14:editId="4F74CA4F">
            <wp:extent cx="3642360" cy="1151890"/>
            <wp:effectExtent l="0" t="0" r="5715" b="635"/>
            <wp:docPr id="13" name="图片 13" descr="Figure S6 (Related to Fig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 S6 (Related to Fig 3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DED0B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Extended Data Fig. S6 | FACS gating strategy for isolation of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APC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used in single-cell RNA sequencing analysis.  </w:t>
      </w:r>
    </w:p>
    <w:p w14:paraId="51FB80B5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Debris and most leukocytes were excluded based on forward and side scatter profiles. b, Doublets were excluded based on forward scatter height (FSC-H) versus width (FSC-W) profiles. c, Live cells were selected by the absence of DAPI staining. CD45⁻ cells (red square frame) were sorted for scRNA-seq to exclude leukocytes.</w:t>
      </w:r>
    </w:p>
    <w:p w14:paraId="3885850F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4E820A5F" wp14:editId="6DD4B7E6">
            <wp:extent cx="5271770" cy="4544695"/>
            <wp:effectExtent l="0" t="0" r="5080" b="8255"/>
            <wp:docPr id="14" name="图片 14" descr="Figure S7 (Related to Fig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 S7 (Related to Fig 3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5A1A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S7 | Marker gene expression patterns across cell groups.  </w:t>
      </w:r>
    </w:p>
    <w:p w14:paraId="59E3867D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a, Single-cell UMAP plots showing the expression patterns of canonical mesenchymal stem cell and preadipocyte markers (Pdgfra, Pdgfrβ, Ly6a, Thy1, Eng, Cd44, Cd24a, Dact2) in the control and rFGF9-treated groups. b, UMAP plots displaying the distribution of Group 1 (interstitial progenitors)-specific genes (Dpp4, Hist1h1b, Gap43, Ube2c) in the indicated groups. c, UMAP plots showing the expression of Group 2 (committed preadipocytes)-specific and adipocyte identity genes (Apoe, </w:t>
      </w:r>
      <w:r>
        <w:rPr>
          <w:rFonts w:ascii="Times New Roman" w:hAnsi="Times New Roman" w:cs="Times New Roman"/>
          <w:sz w:val="24"/>
          <w:szCs w:val="24"/>
        </w:rPr>
        <w:lastRenderedPageBreak/>
        <w:t>Bmper, Fabp4, Ggt5, Pparg, Rarres2, Vcam1, Plin2) in the control and rFGF9-treated groups.</w:t>
      </w:r>
    </w:p>
    <w:p w14:paraId="08AB4ABF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149FE725" wp14:editId="55734231">
            <wp:extent cx="5272405" cy="3876040"/>
            <wp:effectExtent l="0" t="0" r="4445" b="10160"/>
            <wp:docPr id="43" name="图片 43" descr="Figure S8 (Related to Fig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Figure S8 (Related to Fig 4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F32FE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Extended Data Fig. S8 | Transcriptional profiling, lineage tracing and FACS gating of MGP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cells.  </w:t>
      </w:r>
    </w:p>
    <w:p w14:paraId="1533F731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a, Violin plots showing the expression levels of Mgp, Icam1 and Dlk1 across distinct APC clusters, with </w:t>
      </w:r>
      <w:r>
        <w:rPr>
          <w:rFonts w:ascii="Times New Roman" w:hAnsi="Times New Roman" w:cs="Times New Roman" w:hint="eastAsia"/>
          <w:sz w:val="24"/>
          <w:szCs w:val="24"/>
        </w:rPr>
        <w:t>MGP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clusters highlighted by red dashed boxes. b, UMAP embedding integrated with RNA velocity analysis (black arrows) depicting the developmental trajectory from MGP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towards ICAM1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cells. c, Schematic diagram illustrating the generation of MGP-lineage reporter mice (Rosa26-Tomato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flox/flox</w:t>
      </w:r>
      <w:r>
        <w:rPr>
          <w:rFonts w:ascii="Times New Roman" w:hAnsi="Times New Roman" w:cs="Times New Roman"/>
          <w:sz w:val="24"/>
          <w:szCs w:val="24"/>
        </w:rPr>
        <w:t>) via subcutaneous injection of AAV-Mgp-Cre to achieve specific TOMATO labelling of MGP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 w:hint="eastAsia"/>
          <w:sz w:val="24"/>
          <w:szCs w:val="24"/>
        </w:rPr>
        <w:t xml:space="preserve"> in sWAT</w:t>
      </w:r>
      <w:r>
        <w:rPr>
          <w:rFonts w:ascii="Times New Roman" w:hAnsi="Times New Roman" w:cs="Times New Roman"/>
          <w:sz w:val="24"/>
          <w:szCs w:val="24"/>
        </w:rPr>
        <w:t>. d, Representative immunofluorescence images showing TOMATO-labelled MGP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in sWAT sections from MGP-lineage reporter mice. e-g, Flow cytometry gating strategy for sorting MGP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cells. Gating of single cells based on forward and side scatter (FSC-A versus SSC-A) to exclude debris </w:t>
      </w:r>
      <w:r>
        <w:rPr>
          <w:rFonts w:ascii="Times New Roman" w:hAnsi="Times New Roman" w:cs="Times New Roman"/>
          <w:sz w:val="24"/>
          <w:szCs w:val="24"/>
        </w:rPr>
        <w:lastRenderedPageBreak/>
        <w:t>(e). Doublet exclusion based on FSC-H versus FSC-W (f). Live cells were selected by DAPI negativity, and TOMATO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were sorted for subsequent analysis (g).</w:t>
      </w:r>
    </w:p>
    <w:p w14:paraId="059EE021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41BF4424" wp14:editId="61A5F9F5">
            <wp:extent cx="5271135" cy="3670300"/>
            <wp:effectExtent l="0" t="0" r="5715" b="6350"/>
            <wp:docPr id="44" name="图片 44" descr="Figure S9 (Related to Fig 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Figure S9 (Related to Fig 5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916D9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S9 | FGF9 promotes hyperplastic expansion of sWAT.  </w:t>
      </w:r>
    </w:p>
    <w:p w14:paraId="66BE59E6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Schematic diagram depicting the generation of muscle-specific FGF9 transgenic (FGF9-TG) mice by crossing Rosa26-FGF9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flox/flox</w:t>
      </w:r>
      <w:r>
        <w:rPr>
          <w:rFonts w:ascii="Times New Roman" w:hAnsi="Times New Roman" w:cs="Times New Roman"/>
          <w:sz w:val="24"/>
          <w:szCs w:val="24"/>
        </w:rPr>
        <w:t xml:space="preserve"> mice with MLC-Cre mice. b, Relative Fgf9 mRNA levels in sWAT of Ctrl and FGF9-TG mice (n=6). c-e, Daily food intake (c), body weight (d) and body composition (e) of Ctrl and FGF9-TG mice fed a normal chow diet (n=6). f, Representative gross morphology of sWAT and eWAT isolated from Ctrl and FGF9-TG mice. g, Tissue weights of sWAT and eWAT from Ctrl and FGF9-TG mice (n=6). h, Immunofluorescence analysis (left) and quantification (right) of MGP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BrdU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cells in sWAT sections from Ctrl and FGF9-TG mice.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i, H&amp;E staining (upper) and Plin2 immunofluorescence (lower) of sWAT sections (left) and adipocyte diameter distribution (right) from Ctrl and FGF9-TG mice. j, H&amp;E staining (upper) and Plin2 immunofluorescence (lower) of eWAT sections (left) and adipocyte diameter distribution (right) from Ctrl and FGF9-TG mice. Data are presented as mean </w:t>
      </w:r>
      <w:r>
        <w:rPr>
          <w:rFonts w:ascii="Times New Roman" w:hAnsi="Times New Roman" w:cs="Times New Roman"/>
          <w:sz w:val="24"/>
          <w:szCs w:val="24"/>
        </w:rPr>
        <w:lastRenderedPageBreak/>
        <w:t>± s.e.m. Statistical significance was determined by two-tailed unpaired Student's t-test. P &lt; 0.05, P &lt; 0.01, P &lt; 0.001, P &lt; 0.0001; ns, not significant.</w:t>
      </w:r>
    </w:p>
    <w:p w14:paraId="2F8BA8F1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377326E3" wp14:editId="57A7A81B">
            <wp:extent cx="5273040" cy="3752850"/>
            <wp:effectExtent l="0" t="0" r="3810" b="0"/>
            <wp:docPr id="45" name="图片 45" descr="Figure S10 (Related to Fig 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Figure S10 (Related to Fig 6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CFDF8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S10 | Knockdown of Fgfr2, Fgfr3 and Fgfr4 does not block rFGF9-induced MAPK and ERK phosphorylation.  </w:t>
      </w:r>
    </w:p>
    <w:p w14:paraId="0807D376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Single-cell UMAP plots showing the expression patterns of Fgfr1, Fgfr2, Fgfr3 and Fgfr4 in the indicated groups. b, Violin plot showing the expression levels of Fgfr1-Fgfr4 in MGP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cluster. c, Relative mRNA levels of Fgfr1-Fgfr4 in TOMATO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APCs (n=6). d, Relative mRNA levels of Fgfr1 in MGP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APCs infected with shCtrl or shFgfr1 (n=6). e, Relative mRNA levels of Fgfr2, Fgfr3 and Fgfr4 in MGP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APCs infected with shCtrl or indicated shFgfr (n=6). f-h, Western blot analysis of the phosphorylation levels of MAPK and ERK in MGP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APCs infected with shFgfr2 (f), shFgfr3 (g) or shFgfr4 (h) and treated with or without rFGF9 (n=4). Data are presented as mean ± s.e.m. Statistical significance was determined by two-tailed unpaired Student's t-test. P &lt; 0.001, P &lt; 0.0001; ns, not significant.</w:t>
      </w:r>
    </w:p>
    <w:p w14:paraId="2F480A78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114300" distR="114300" wp14:anchorId="55E90540" wp14:editId="677B423D">
            <wp:extent cx="3343910" cy="1243330"/>
            <wp:effectExtent l="0" t="0" r="8890" b="4445"/>
            <wp:docPr id="18" name="图片 18" descr="Figure S11 (Related to Fig 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ure S11 (Related to Fig 7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664B3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S11 | Construction of DNA origami-based delivery system.  </w:t>
      </w:r>
    </w:p>
    <w:p w14:paraId="4B120F54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ELISA analysis of serum FGF9 level following a single injection. b, Quantification of cellular growth treated with or without DDS (n=6). Data are presented as mean ± s.e.m. Statistical significance was determined by two-tailed unpaired Student's t-test. P &lt; 0.05, P &lt; 0.001, P &lt; 0.0001; ns, not significant.</w:t>
      </w:r>
    </w:p>
    <w:p w14:paraId="0EE2DD5D" w14:textId="77777777" w:rsidR="00577FC3" w:rsidRDefault="00577FC3" w:rsidP="00577FC3">
      <w:pPr>
        <w:spacing w:beforeLines="100" w:before="312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114300" distR="114300" wp14:anchorId="7EA8FDC4" wp14:editId="341C3FB7">
            <wp:extent cx="5271770" cy="2870835"/>
            <wp:effectExtent l="0" t="0" r="5080" b="5715"/>
            <wp:docPr id="19" name="图片 19" descr="Figure S12 (Related to Fig 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igure S12 (Related to Fig 7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2F614" w14:textId="77777777" w:rsidR="00577FC3" w:rsidRDefault="00577FC3" w:rsidP="00577FC3">
      <w:pPr>
        <w:spacing w:beforeLines="100" w:before="31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Extended Data Fig. S12 | DDS-rFGF9 improves metabolic disorder of db/db and DIO mice.  </w:t>
      </w:r>
    </w:p>
    <w:p w14:paraId="79B72711" w14:textId="77777777" w:rsidR="00577FC3" w:rsidRDefault="00577FC3" w:rsidP="00577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a-c, H&amp;E staining of sWAT (a), eWAT (b) and liver (c) sections from db/db mice treated with DDS or DDS-rFGF9. d-f, H&amp;E staining of sWAT (d), eWAT (e) and liver (f) sections from DIO mice treated with DDS or DDS-rFGF9.</w:t>
      </w:r>
    </w:p>
    <w:p w14:paraId="0104F797" w14:textId="77777777" w:rsidR="008B07A6" w:rsidRDefault="008B07A6"/>
    <w:sectPr w:rsidR="008B07A6" w:rsidSect="00577FC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C3"/>
    <w:rsid w:val="00066677"/>
    <w:rsid w:val="00153A17"/>
    <w:rsid w:val="001A37F3"/>
    <w:rsid w:val="003A4E89"/>
    <w:rsid w:val="00556784"/>
    <w:rsid w:val="00577FC3"/>
    <w:rsid w:val="008B07A6"/>
    <w:rsid w:val="0097029A"/>
    <w:rsid w:val="00987B63"/>
    <w:rsid w:val="00A234E6"/>
    <w:rsid w:val="00D31E7D"/>
    <w:rsid w:val="00FA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E4A52"/>
  <w15:chartTrackingRefBased/>
  <w15:docId w15:val="{7075B6F2-36CA-411C-B528-719E2BB5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FC3"/>
    <w:pPr>
      <w:spacing w:after="0" w:line="240" w:lineRule="auto"/>
      <w:jc w:val="both"/>
    </w:pPr>
    <w:rPr>
      <w:rFonts w:ascii="Calibri" w:eastAsia="SimSun" w:hAnsi="Calibri" w:cs="SimSun"/>
      <w:sz w:val="21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FC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FC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FC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FC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FC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FC3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FC3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FC3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FC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F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F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F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F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F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F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FC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7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FC3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7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FC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7F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FC3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7F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F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FC3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77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1170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2026-07-13T04:43:00Z</dcterms:created>
  <dcterms:modified xsi:type="dcterms:W3CDTF">2026-07-13T04:43:00Z</dcterms:modified>
</cp:coreProperties>
</file>