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ECE7E" w14:textId="77777777" w:rsidR="009C5502" w:rsidRPr="003807A8" w:rsidRDefault="009C5502" w:rsidP="009C5502">
      <w:pPr>
        <w:pStyle w:val="Heading1"/>
        <w:rPr>
          <w:b/>
          <w:bCs/>
          <w:lang w:val="en-US"/>
        </w:rPr>
      </w:pPr>
      <w:r w:rsidRPr="003807A8">
        <w:rPr>
          <w:b/>
          <w:bCs/>
          <w:lang w:val="en-US"/>
        </w:rPr>
        <w:t>Supplementary material</w:t>
      </w:r>
    </w:p>
    <w:p w14:paraId="5F349B0D" w14:textId="77777777" w:rsidR="009C5502" w:rsidRPr="002F0486" w:rsidRDefault="009C5502" w:rsidP="009C5502">
      <w:pPr>
        <w:pStyle w:val="Heading1"/>
        <w:spacing w:line="480" w:lineRule="auto"/>
        <w:rPr>
          <w:lang w:val="en-US"/>
        </w:rPr>
      </w:pPr>
      <w:r>
        <w:rPr>
          <w:lang w:val="en-US"/>
        </w:rPr>
        <w:t xml:space="preserve">Supplementary Text 1. </w:t>
      </w:r>
      <w:r w:rsidRPr="007F001D">
        <w:rPr>
          <w:lang w:val="en-US"/>
        </w:rPr>
        <w:t xml:space="preserve">Automated </w:t>
      </w:r>
      <w:r w:rsidRPr="002F0486">
        <w:rPr>
          <w:lang w:val="en-US"/>
        </w:rPr>
        <w:t>flow cytometric and functional assays</w:t>
      </w:r>
    </w:p>
    <w:p w14:paraId="002D356B" w14:textId="77777777" w:rsidR="009C5502" w:rsidRPr="003807A8" w:rsidRDefault="009C5502" w:rsidP="009C5502">
      <w:pPr>
        <w:spacing w:after="0" w:line="480" w:lineRule="auto"/>
        <w:rPr>
          <w:b/>
          <w:bCs/>
          <w:i/>
          <w:iCs/>
          <w:lang w:val="en-US"/>
        </w:rPr>
      </w:pPr>
      <w:r w:rsidRPr="003807A8">
        <w:rPr>
          <w:b/>
          <w:bCs/>
          <w:i/>
          <w:iCs/>
          <w:lang w:val="en-US"/>
        </w:rPr>
        <w:t xml:space="preserve">AQUIOS automatic blood processing </w:t>
      </w:r>
    </w:p>
    <w:p w14:paraId="6166E85D" w14:textId="77777777" w:rsidR="009C5502" w:rsidRPr="007F001D" w:rsidRDefault="009C5502" w:rsidP="009C5502">
      <w:pPr>
        <w:spacing w:after="0" w:line="480" w:lineRule="auto"/>
        <w:jc w:val="both"/>
        <w:rPr>
          <w:lang w:val="en-US"/>
        </w:rPr>
      </w:pPr>
      <w:r w:rsidRPr="007F001D">
        <w:rPr>
          <w:lang w:val="en-US"/>
        </w:rPr>
        <w:t xml:space="preserve">The AQUIOS CL “Load &amp; Go” flow cytometer (Beckman Coulter, CA, USA) was used for fast automatic neutrophil phenotyping of the blood samples at each time point, as previously described by </w:t>
      </w:r>
      <w:proofErr w:type="spellStart"/>
      <w:r w:rsidRPr="007F001D">
        <w:rPr>
          <w:lang w:val="en-US"/>
        </w:rPr>
        <w:t>Spijkerman</w:t>
      </w:r>
      <w:proofErr w:type="spellEnd"/>
      <w:r w:rsidRPr="007F001D">
        <w:rPr>
          <w:lang w:val="en-US"/>
        </w:rPr>
        <w:t xml:space="preserve"> </w:t>
      </w:r>
      <w:r>
        <w:rPr>
          <w:i/>
          <w:iCs/>
          <w:lang w:val="en-US"/>
        </w:rPr>
        <w:t>et al.</w:t>
      </w:r>
      <w:r w:rsidRPr="007F001D">
        <w:rPr>
          <w:i/>
          <w:iCs/>
          <w:lang w:val="en-US"/>
        </w:rPr>
        <w:t xml:space="preserve"> </w:t>
      </w:r>
      <w:r w:rsidRPr="007F001D">
        <w:rPr>
          <w:lang w:val="en-US"/>
        </w:rPr>
        <w:fldChar w:fldCharType="begin">
          <w:fldData xml:space="preserve">PEVuZE5vdGU+PENpdGU+PEF1dGhvcj5TcGlqa2VybWFuPC9BdXRob3I+PFllYXI+MjAxOTwvWWVh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</w:fldData>
        </w:fldChar>
      </w:r>
      <w:r>
        <w:rPr>
          <w:lang w:val="en-US"/>
        </w:rPr>
        <w:instrText xml:space="preserve"> ADDIN EN.CITE </w:instrText>
      </w:r>
      <w:r>
        <w:rPr>
          <w:lang w:val="en-US"/>
        </w:rPr>
        <w:fldChar w:fldCharType="begin">
          <w:fldData xml:space="preserve">PEVuZE5vdGU+PENpdGU+PEF1dGhvcj5TcGlqa2VybWFuPC9BdXRob3I+PFllYXI+MjAxOTwvWWVh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</w:fldData>
        </w:fldChar>
      </w:r>
      <w:r>
        <w:rPr>
          <w:lang w:val="en-US"/>
        </w:rPr>
        <w:instrText xml:space="preserve"> ADDIN EN.CITE.DATA </w:instrText>
      </w:r>
      <w:r>
        <w:rPr>
          <w:lang w:val="en-US"/>
        </w:rPr>
      </w:r>
      <w:r>
        <w:rPr>
          <w:lang w:val="en-US"/>
        </w:rPr>
        <w:fldChar w:fldCharType="end"/>
      </w:r>
      <w:r w:rsidRPr="007F001D">
        <w:rPr>
          <w:lang w:val="en-US"/>
        </w:rPr>
      </w:r>
      <w:r w:rsidRPr="007F001D">
        <w:rPr>
          <w:lang w:val="en-US"/>
        </w:rPr>
        <w:fldChar w:fldCharType="separate"/>
      </w:r>
      <w:r>
        <w:rPr>
          <w:noProof/>
          <w:lang w:val="en-US"/>
        </w:rPr>
        <w:t>(42)</w:t>
      </w:r>
      <w:r w:rsidRPr="007F001D">
        <w:rPr>
          <w:lang w:val="en-US"/>
        </w:rPr>
        <w:fldChar w:fldCharType="end"/>
      </w:r>
      <w:r w:rsidRPr="007F001D">
        <w:rPr>
          <w:lang w:val="en-US"/>
        </w:rPr>
        <w:t xml:space="preserve"> In short, a blood tube was placed in a cassette that was inserted into the loading dock of the device. The device mixed the blood before it automatically pipetted a small amount into a 96 well plate. Antibody staining mix or bioparticles were added to the well, and this mixture was left to incubate for a pre-set amount of time depending on the test. After incubation, the erythrocytes were lysed by addition of AQUIOS Lysing Reagent A (Beckman Coulter, CA, USA). The lysis was stopped after 30 seconds by addition of AQUIOS Lysing Reagent B (Beckman Coulter, CA, USA). The sample was then automatically aspirated and analyzed in the flow cell of the device.</w:t>
      </w:r>
    </w:p>
    <w:p w14:paraId="43ED3537" w14:textId="77777777" w:rsidR="009C5502" w:rsidRPr="007F001D" w:rsidRDefault="009C5502" w:rsidP="009C5502">
      <w:pPr>
        <w:pStyle w:val="Style2"/>
      </w:pPr>
      <w:r w:rsidRPr="007F001D">
        <w:t>Antibody panel</w:t>
      </w:r>
    </w:p>
    <w:p w14:paraId="7E1F69C0" w14:textId="77777777" w:rsidR="009C5502" w:rsidRPr="007F001D" w:rsidRDefault="009C5502" w:rsidP="009C5502">
      <w:pPr>
        <w:spacing w:line="480" w:lineRule="auto"/>
        <w:jc w:val="both"/>
        <w:rPr>
          <w:lang w:val="en-US"/>
        </w:rPr>
      </w:pPr>
      <w:r w:rsidRPr="007F001D">
        <w:rPr>
          <w:lang w:val="en-US"/>
        </w:rPr>
        <w:t>The antibody mix consisted of five antibody-fluorochrome combinations directed against CD16 (</w:t>
      </w:r>
      <w:proofErr w:type="spellStart"/>
      <w:r w:rsidRPr="007F001D">
        <w:rPr>
          <w:lang w:val="en-US"/>
        </w:rPr>
        <w:t>Fc</w:t>
      </w:r>
      <w:r w:rsidRPr="007F001D">
        <w:rPr>
          <w:rFonts w:ascii="Symbol" w:hAnsi="Symbol"/>
          <w:lang w:val="en-US"/>
        </w:rPr>
        <w:t>g</w:t>
      </w:r>
      <w:r w:rsidRPr="007F001D">
        <w:rPr>
          <w:rFonts w:cstheme="minorHAnsi"/>
          <w:lang w:val="en-US"/>
        </w:rPr>
        <w:t>RIII</w:t>
      </w:r>
      <w:proofErr w:type="spellEnd"/>
      <w:r w:rsidRPr="007F001D">
        <w:rPr>
          <w:rFonts w:cstheme="minorHAnsi"/>
          <w:lang w:val="en-US"/>
        </w:rPr>
        <w:t>)</w:t>
      </w:r>
      <w:r w:rsidRPr="007F001D">
        <w:rPr>
          <w:lang w:val="en-US"/>
        </w:rPr>
        <w:t>, CD11b (Mac-1), CD62L (L-selectin), CD10 (neprilysin) (CD10) or CD64 (</w:t>
      </w:r>
      <w:proofErr w:type="spellStart"/>
      <w:r w:rsidRPr="007F001D">
        <w:rPr>
          <w:lang w:val="en-US"/>
        </w:rPr>
        <w:t>Fcγ</w:t>
      </w:r>
      <w:proofErr w:type="gramStart"/>
      <w:r w:rsidRPr="007F001D">
        <w:rPr>
          <w:lang w:val="en-US"/>
        </w:rPr>
        <w:t>RI</w:t>
      </w:r>
      <w:proofErr w:type="spellEnd"/>
      <w:r w:rsidRPr="007F001D">
        <w:rPr>
          <w:lang w:val="en-US"/>
        </w:rPr>
        <w:t>)  (</w:t>
      </w:r>
      <w:proofErr w:type="gramEnd"/>
      <w:r w:rsidRPr="00A6251C">
        <w:rPr>
          <w:lang w:val="en-US"/>
        </w:rPr>
        <w:t>Suppl. Table 1</w:t>
      </w:r>
      <w:r w:rsidRPr="007F001D">
        <w:rPr>
          <w:lang w:val="en-US"/>
        </w:rPr>
        <w:t xml:space="preserve">). The blood and the antibody mix were incubated for 15 minutes before measurement by automated flow cytometry, as described above. The results of the analyses were exported as PDF files for extraction of white blood cell counts, </w:t>
      </w:r>
      <w:proofErr w:type="gramStart"/>
      <w:r w:rsidRPr="007F001D">
        <w:rPr>
          <w:lang w:val="en-US"/>
        </w:rPr>
        <w:t>and also</w:t>
      </w:r>
      <w:proofErr w:type="gramEnd"/>
      <w:r w:rsidRPr="007F001D">
        <w:rPr>
          <w:lang w:val="en-US"/>
        </w:rPr>
        <w:t xml:space="preserve"> into .LMD files for further analysis using </w:t>
      </w:r>
      <w:proofErr w:type="spellStart"/>
      <w:r w:rsidRPr="007F001D">
        <w:rPr>
          <w:lang w:val="en-US"/>
        </w:rPr>
        <w:t>FlowJo</w:t>
      </w:r>
      <w:proofErr w:type="spellEnd"/>
      <w:r w:rsidRPr="007F001D">
        <w:rPr>
          <w:lang w:val="en-US"/>
        </w:rPr>
        <w:t>™ software (Becton Dickinson, NJ, USA). We gated the neutrophil lineage and neutrophil subsets (progenitor, CD16</w:t>
      </w:r>
      <w:r w:rsidRPr="007F001D">
        <w:rPr>
          <w:vertAlign w:val="superscript"/>
          <w:lang w:val="en-US"/>
        </w:rPr>
        <w:t>low</w:t>
      </w:r>
      <w:r w:rsidRPr="007F001D">
        <w:rPr>
          <w:lang w:val="en-US"/>
        </w:rPr>
        <w:t>-banded, mature and CD62L</w:t>
      </w:r>
      <w:r w:rsidRPr="007F001D">
        <w:rPr>
          <w:vertAlign w:val="superscript"/>
          <w:lang w:val="en-US"/>
        </w:rPr>
        <w:t>low</w:t>
      </w:r>
      <w:r w:rsidRPr="007F001D">
        <w:rPr>
          <w:lang w:val="en-US"/>
        </w:rPr>
        <w:t xml:space="preserve">-hypersegmented neutrophils) following the gating strategy in </w:t>
      </w:r>
      <w:r w:rsidRPr="00D84971">
        <w:rPr>
          <w:b/>
          <w:bCs/>
          <w:lang w:val="en-US"/>
        </w:rPr>
        <w:t>Supplementary Figure 1</w:t>
      </w:r>
      <w:r w:rsidRPr="007F001D">
        <w:rPr>
          <w:lang w:val="en-US"/>
        </w:rPr>
        <w:t>.</w:t>
      </w:r>
      <w:r>
        <w:rPr>
          <w:lang w:val="en-US"/>
        </w:rPr>
        <w:t xml:space="preserve"> </w:t>
      </w:r>
      <w:r w:rsidRPr="007F001D">
        <w:rPr>
          <w:lang w:val="en-US"/>
        </w:rPr>
        <w:t xml:space="preserve">Percentages of total neutrophils and </w:t>
      </w:r>
      <w:r w:rsidRPr="007F001D">
        <w:rPr>
          <w:lang w:val="en-US"/>
        </w:rPr>
        <w:lastRenderedPageBreak/>
        <w:t>their subsets were determined, and marker expression was quantified by median fluorescent intensity (MFI).</w:t>
      </w:r>
    </w:p>
    <w:p w14:paraId="1628E4BC" w14:textId="77777777" w:rsidR="009C5502" w:rsidRPr="00A6251C" w:rsidRDefault="009C5502" w:rsidP="009C5502">
      <w:pPr>
        <w:pStyle w:val="NoSpacing"/>
        <w:spacing w:line="480" w:lineRule="auto"/>
        <w:jc w:val="both"/>
        <w:rPr>
          <w:b/>
          <w:bCs/>
          <w:i/>
          <w:iCs/>
          <w:lang w:val="en-US"/>
        </w:rPr>
      </w:pPr>
      <w:r w:rsidRPr="00A6251C">
        <w:rPr>
          <w:b/>
          <w:bCs/>
          <w:i/>
          <w:iCs/>
          <w:lang w:val="en-US"/>
        </w:rPr>
        <w:t>Phagocytosis and acidification assay</w:t>
      </w:r>
    </w:p>
    <w:p w14:paraId="39DBCF0C" w14:textId="77777777" w:rsidR="009C5502" w:rsidRPr="00583032" w:rsidRDefault="009C5502" w:rsidP="009C5502">
      <w:pPr>
        <w:spacing w:line="480" w:lineRule="auto"/>
        <w:jc w:val="both"/>
        <w:rPr>
          <w:lang w:val="en-US"/>
        </w:rPr>
      </w:pPr>
      <w:r w:rsidRPr="007F001D">
        <w:rPr>
          <w:lang w:val="en-US"/>
        </w:rPr>
        <w:t xml:space="preserve">In order to measure phagocytosis and </w:t>
      </w:r>
      <w:proofErr w:type="spellStart"/>
      <w:r w:rsidRPr="007F001D">
        <w:rPr>
          <w:lang w:val="en-US"/>
        </w:rPr>
        <w:t>phagolysosomal</w:t>
      </w:r>
      <w:proofErr w:type="spellEnd"/>
      <w:r w:rsidRPr="007F001D">
        <w:rPr>
          <w:lang w:val="en-US"/>
        </w:rPr>
        <w:t xml:space="preserve"> acidification of neutrophils, we prepared duo-labelled </w:t>
      </w:r>
      <w:r w:rsidRPr="007F001D">
        <w:rPr>
          <w:i/>
          <w:iCs/>
          <w:lang w:val="en-US"/>
        </w:rPr>
        <w:t>Staphylococcus aureus (S. aureus)</w:t>
      </w:r>
      <w:r w:rsidRPr="007F001D">
        <w:rPr>
          <w:lang w:val="en-US"/>
        </w:rPr>
        <w:t xml:space="preserve"> bioparticles, as previously described by Hesselink </w:t>
      </w:r>
      <w:r w:rsidRPr="003807A8">
        <w:rPr>
          <w:lang w:val="en-US"/>
        </w:rPr>
        <w:t>et al</w:t>
      </w:r>
      <w:r>
        <w:rPr>
          <w:i/>
          <w:iCs/>
          <w:lang w:val="en-US"/>
        </w:rPr>
        <w:t>.</w:t>
      </w:r>
      <w:r w:rsidRPr="007F001D">
        <w:rPr>
          <w:vertAlign w:val="superscript"/>
          <w:lang w:val="en-US"/>
        </w:rPr>
        <w:t xml:space="preserve"> </w:t>
      </w:r>
      <w:r w:rsidRPr="007F001D">
        <w:rPr>
          <w:lang w:val="en-US"/>
        </w:rPr>
        <w:fldChar w:fldCharType="begin">
          <w:fldData xml:space="preserve">PEVuZE5vdGU+PENpdGU+PEF1dGhvcj5IZXNzZWxpbms8L0F1dGhvcj48WWVhcj4yMDIwPC9ZZWFy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</w:fldData>
        </w:fldChar>
      </w:r>
      <w:r>
        <w:rPr>
          <w:lang w:val="en-US"/>
        </w:rPr>
        <w:instrText xml:space="preserve"> ADDIN EN.CITE </w:instrText>
      </w:r>
      <w:r>
        <w:rPr>
          <w:lang w:val="en-US"/>
        </w:rPr>
        <w:fldChar w:fldCharType="begin">
          <w:fldData xml:space="preserve">PEVuZE5vdGU+PENpdGU+PEF1dGhvcj5IZXNzZWxpbms8L0F1dGhvcj48WWVhcj4yMDIwPC9ZZWFy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</w:fldData>
        </w:fldChar>
      </w:r>
      <w:r>
        <w:rPr>
          <w:lang w:val="en-US"/>
        </w:rPr>
        <w:instrText xml:space="preserve"> ADDIN EN.CITE.DATA </w:instrText>
      </w:r>
      <w:r>
        <w:rPr>
          <w:lang w:val="en-US"/>
        </w:rPr>
      </w:r>
      <w:r>
        <w:rPr>
          <w:lang w:val="en-US"/>
        </w:rPr>
        <w:fldChar w:fldCharType="end"/>
      </w:r>
      <w:r w:rsidRPr="007F001D">
        <w:rPr>
          <w:lang w:val="en-US"/>
        </w:rPr>
      </w:r>
      <w:r w:rsidRPr="007F001D">
        <w:rPr>
          <w:lang w:val="en-US"/>
        </w:rPr>
        <w:fldChar w:fldCharType="separate"/>
      </w:r>
      <w:r>
        <w:rPr>
          <w:noProof/>
          <w:lang w:val="en-US"/>
        </w:rPr>
        <w:t>(13)</w:t>
      </w:r>
      <w:r w:rsidRPr="007F001D">
        <w:rPr>
          <w:lang w:val="en-US"/>
        </w:rPr>
        <w:fldChar w:fldCharType="end"/>
      </w:r>
      <w:r w:rsidRPr="007F001D">
        <w:rPr>
          <w:lang w:val="en-US"/>
        </w:rPr>
        <w:t xml:space="preserve"> Briefly, pH sensitive </w:t>
      </w:r>
      <w:proofErr w:type="spellStart"/>
      <w:r w:rsidRPr="007F001D">
        <w:rPr>
          <w:lang w:val="en-US"/>
        </w:rPr>
        <w:t>pHrodo</w:t>
      </w:r>
      <w:proofErr w:type="spellEnd"/>
      <w:r w:rsidRPr="007F001D">
        <w:rPr>
          <w:lang w:val="en-US"/>
        </w:rPr>
        <w:t xml:space="preserve">™ green </w:t>
      </w:r>
      <w:r w:rsidRPr="007F001D">
        <w:rPr>
          <w:i/>
          <w:iCs/>
          <w:lang w:val="en-US"/>
        </w:rPr>
        <w:t>S.</w:t>
      </w:r>
      <w:r w:rsidRPr="007F001D">
        <w:rPr>
          <w:lang w:val="en-US"/>
        </w:rPr>
        <w:t xml:space="preserve"> </w:t>
      </w:r>
      <w:r w:rsidRPr="007F001D">
        <w:rPr>
          <w:i/>
          <w:iCs/>
          <w:lang w:val="en-US"/>
        </w:rPr>
        <w:t>aureus</w:t>
      </w:r>
      <w:r w:rsidRPr="007F001D">
        <w:rPr>
          <w:lang w:val="en-US"/>
        </w:rPr>
        <w:t xml:space="preserve"> </w:t>
      </w:r>
      <w:proofErr w:type="spellStart"/>
      <w:r w:rsidRPr="007F001D">
        <w:rPr>
          <w:lang w:val="en-US"/>
        </w:rPr>
        <w:t>BioParticles</w:t>
      </w:r>
      <w:proofErr w:type="spellEnd"/>
      <w:r w:rsidRPr="007F001D">
        <w:rPr>
          <w:lang w:val="en-US"/>
        </w:rPr>
        <w:t>™ (</w:t>
      </w:r>
      <w:proofErr w:type="spellStart"/>
      <w:r w:rsidRPr="007F001D">
        <w:rPr>
          <w:lang w:val="en-US"/>
        </w:rPr>
        <w:t>Thermo</w:t>
      </w:r>
      <w:proofErr w:type="spellEnd"/>
      <w:r w:rsidRPr="007F001D">
        <w:rPr>
          <w:lang w:val="en-US"/>
        </w:rPr>
        <w:t xml:space="preserve"> Fisher Scientific, MA, USA) were additionally labelled with a pH insensitive </w:t>
      </w:r>
      <w:proofErr w:type="spellStart"/>
      <w:r w:rsidRPr="007F001D">
        <w:rPr>
          <w:lang w:val="en-US"/>
        </w:rPr>
        <w:t>PromoFluor</w:t>
      </w:r>
      <w:proofErr w:type="spellEnd"/>
      <w:r w:rsidRPr="007F001D">
        <w:rPr>
          <w:lang w:val="en-US"/>
        </w:rPr>
        <w:t xml:space="preserve"> 520 LSS NHS ester (PF520) (</w:t>
      </w:r>
      <w:proofErr w:type="spellStart"/>
      <w:r w:rsidRPr="007F001D">
        <w:rPr>
          <w:lang w:val="en-US"/>
        </w:rPr>
        <w:t>PromoCell</w:t>
      </w:r>
      <w:proofErr w:type="spellEnd"/>
      <w:r w:rsidRPr="007F001D">
        <w:rPr>
          <w:lang w:val="en-US"/>
        </w:rPr>
        <w:t xml:space="preserve">, Germany). Blood samples were incubated with duo-labelled bioparticles (final concentration 10 </w:t>
      </w:r>
      <w:r w:rsidRPr="007F001D">
        <w:rPr>
          <w:rFonts w:cstheme="minorHAnsi"/>
          <w:lang w:val="en-US"/>
        </w:rPr>
        <w:t xml:space="preserve">× </w:t>
      </w:r>
      <w:r w:rsidRPr="007F001D">
        <w:rPr>
          <w:lang w:val="en-US"/>
        </w:rPr>
        <w:t>10</w:t>
      </w:r>
      <w:r w:rsidRPr="007F001D">
        <w:rPr>
          <w:vertAlign w:val="superscript"/>
          <w:lang w:val="en-US"/>
        </w:rPr>
        <w:t xml:space="preserve">6 </w:t>
      </w:r>
      <w:r w:rsidRPr="007F001D">
        <w:rPr>
          <w:lang w:val="en-US"/>
        </w:rPr>
        <w:t xml:space="preserve">particles/mL) for 60 minutes prior to automated flow cytometry, as described above. Data were exported as .LMD files and analyzed using </w:t>
      </w:r>
      <w:proofErr w:type="spellStart"/>
      <w:r w:rsidRPr="007F001D">
        <w:rPr>
          <w:lang w:val="en-US"/>
        </w:rPr>
        <w:t>FlowJo</w:t>
      </w:r>
      <w:proofErr w:type="spellEnd"/>
      <w:r w:rsidRPr="007F001D">
        <w:rPr>
          <w:lang w:val="en-US"/>
        </w:rPr>
        <w:t>™ software (Becton Dickinson, NJ, USA). Neutrophils that phagocytosed bioparticles became PF520+, and intra-</w:t>
      </w:r>
      <w:proofErr w:type="spellStart"/>
      <w:r w:rsidRPr="007F001D">
        <w:rPr>
          <w:lang w:val="en-US"/>
        </w:rPr>
        <w:t>phagosomal</w:t>
      </w:r>
      <w:proofErr w:type="spellEnd"/>
      <w:r w:rsidRPr="007F001D">
        <w:rPr>
          <w:lang w:val="en-US"/>
        </w:rPr>
        <w:t xml:space="preserve"> acidification increased the </w:t>
      </w:r>
      <w:proofErr w:type="spellStart"/>
      <w:r w:rsidRPr="007F001D">
        <w:rPr>
          <w:lang w:val="en-US"/>
        </w:rPr>
        <w:t>pHrodo</w:t>
      </w:r>
      <w:proofErr w:type="spellEnd"/>
      <w:r w:rsidRPr="007F001D">
        <w:rPr>
          <w:lang w:val="en-US"/>
        </w:rPr>
        <w:t xml:space="preserve"> signal within this population. PF520+ neutrophils were gated to determine overall phagocytosis and </w:t>
      </w:r>
      <w:proofErr w:type="spellStart"/>
      <w:r w:rsidRPr="007F001D">
        <w:rPr>
          <w:lang w:val="en-US"/>
        </w:rPr>
        <w:t>pHrodo</w:t>
      </w:r>
      <w:proofErr w:type="spellEnd"/>
      <w:r w:rsidRPr="007F001D">
        <w:rPr>
          <w:lang w:val="en-US"/>
        </w:rPr>
        <w:t xml:space="preserve"> MFI for acidification following the strategy described in to </w:t>
      </w:r>
      <w:proofErr w:type="spellStart"/>
      <w:r w:rsidRPr="007F001D">
        <w:rPr>
          <w:lang w:val="en-US"/>
        </w:rPr>
        <w:t>Duebel</w:t>
      </w:r>
      <w:proofErr w:type="spellEnd"/>
      <w:r w:rsidRPr="007F001D">
        <w:rPr>
          <w:lang w:val="en-US"/>
        </w:rPr>
        <w:t xml:space="preserve"> </w:t>
      </w:r>
      <w:r w:rsidRPr="003807A8">
        <w:rPr>
          <w:lang w:val="en-US"/>
        </w:rPr>
        <w:t>et al</w:t>
      </w:r>
      <w:r>
        <w:rPr>
          <w:i/>
          <w:iCs/>
          <w:lang w:val="en-US"/>
        </w:rPr>
        <w:t>.</w:t>
      </w:r>
      <w:r w:rsidRPr="007F001D">
        <w:rPr>
          <w:lang w:val="en-US"/>
        </w:rPr>
        <w:t xml:space="preserve"> </w:t>
      </w:r>
      <w:r w:rsidRPr="007F001D">
        <w:rPr>
          <w:lang w:val="en-US"/>
        </w:rPr>
        <w:fldChar w:fldCharType="begin"/>
      </w:r>
      <w:r>
        <w:rPr>
          <w:lang w:val="en-US"/>
        </w:rPr>
        <w:instrText xml:space="preserve"> ADDIN EN.CITE &lt;EndNote&gt;&lt;Cite&gt;&lt;Author&gt;Duebel&lt;/Author&gt;&lt;Year&gt;2026&lt;/Year&gt;&lt;RecNum&gt;684&lt;/RecNum&gt;&lt;DisplayText&gt;(14)&lt;/DisplayText&gt;&lt;record&gt;&lt;rec-number&gt;684&lt;/rec-number&gt;&lt;foreign-keys&gt;&lt;key app="EN" db-id="e5f99z2s6f9dw8eaaszx029lt2atv0f92v9a" timestamp="1773400971"&gt;684&lt;/key&gt;&lt;/foreign-keys&gt;&lt;ref-type name="Journal Article"&gt;17&lt;/ref-type&gt;&lt;contributors&gt;&lt;authors&gt;&lt;author&gt;Duebel, L. V.&lt;/author&gt;&lt;author&gt;Dekker, S. O.&lt;/author&gt;&lt;author&gt;Bongers, S. H.&lt;/author&gt;&lt;author&gt;van Aalst, C.&lt;/author&gt;&lt;author&gt;Mulder, E.&lt;/author&gt;&lt;author&gt;Hietbrink, F.&lt;/author&gt;&lt;author&gt;Koenderman, L.&lt;/author&gt;&lt;author&gt;Vrisekoop, N.&lt;/author&gt;&lt;/authors&gt;&lt;/contributors&gt;&lt;titles&gt;&lt;title&gt;Increased bacterial load per neutrophil reduces intracellular killing capacity&lt;/title&gt;&lt;secondary-title&gt;J Innate Immun&lt;/secondary-title&gt;&lt;/titles&gt;&lt;periodical&gt;&lt;full-title&gt;J Innate Immun&lt;/full-title&gt;&lt;/periodical&gt;&lt;pages&gt;1-22&lt;/pages&gt;&lt;edition&gt;20260312&lt;/edition&gt;&lt;dates&gt;&lt;year&gt;2026&lt;/year&gt;&lt;pub-dates&gt;&lt;date&gt;Mar 12&lt;/date&gt;&lt;/pub-dates&gt;&lt;/dates&gt;&lt;isbn&gt;1662-8128 (Electronic)&amp;#xD;1662-811X (Linking)&lt;/isbn&gt;&lt;accession-num&gt;41818396&lt;/accession-num&gt;&lt;urls&gt;&lt;related-urls&gt;&lt;url&gt;https://www.ncbi.nlm.nih.gov/pubmed/41818396&lt;/url&gt;&lt;/related-urls&gt;&lt;/urls&gt;&lt;electronic-resource-num&gt;10.1159/000551415&lt;/electronic-resource-num&gt;&lt;remote-database-name&gt;Publisher&lt;/remote-database-name&gt;&lt;remote-database-provider&gt;NLM&lt;/remote-database-provider&gt;&lt;/record&gt;&lt;/Cite&gt;&lt;/EndNote&gt;</w:instrText>
      </w:r>
      <w:r w:rsidRPr="007F001D">
        <w:rPr>
          <w:lang w:val="en-US"/>
        </w:rPr>
        <w:fldChar w:fldCharType="separate"/>
      </w:r>
      <w:r>
        <w:rPr>
          <w:noProof/>
          <w:lang w:val="en-US"/>
        </w:rPr>
        <w:t>(14)</w:t>
      </w:r>
      <w:r w:rsidRPr="007F001D">
        <w:rPr>
          <w:lang w:val="en-US"/>
        </w:rPr>
        <w:fldChar w:fldCharType="end"/>
      </w:r>
      <w:r w:rsidRPr="007F001D">
        <w:rPr>
          <w:lang w:val="en-US"/>
        </w:rPr>
        <w:t xml:space="preserve"> Percentages of PF520+ cells and MFIs of PF520 and </w:t>
      </w:r>
      <w:proofErr w:type="spellStart"/>
      <w:r w:rsidRPr="007F001D">
        <w:rPr>
          <w:lang w:val="en-US"/>
        </w:rPr>
        <w:t>pHrodo</w:t>
      </w:r>
      <w:proofErr w:type="spellEnd"/>
      <w:r w:rsidRPr="007F001D">
        <w:rPr>
          <w:lang w:val="en-US"/>
        </w:rPr>
        <w:t xml:space="preserve"> were exported, and the </w:t>
      </w:r>
      <w:proofErr w:type="spellStart"/>
      <w:r w:rsidRPr="007F001D">
        <w:rPr>
          <w:lang w:val="en-US"/>
        </w:rPr>
        <w:t>pHrodo</w:t>
      </w:r>
      <w:proofErr w:type="spellEnd"/>
      <w:r w:rsidRPr="007F001D">
        <w:rPr>
          <w:lang w:val="en-US"/>
        </w:rPr>
        <w:t>/PF520 ratio was calculated to normalize acidification for phagocytosed particle load.</w:t>
      </w:r>
    </w:p>
    <w:p w14:paraId="40A2D587" w14:textId="77777777" w:rsidR="009C5502" w:rsidRPr="007F001D" w:rsidRDefault="009C5502" w:rsidP="009C5502">
      <w:pPr>
        <w:spacing w:line="480" w:lineRule="auto"/>
        <w:jc w:val="both"/>
        <w:rPr>
          <w:lang w:val="en-US"/>
        </w:rPr>
      </w:pPr>
    </w:p>
    <w:p w14:paraId="41E67189" w14:textId="77777777" w:rsidR="009C5502" w:rsidRPr="007F001D" w:rsidRDefault="009C5502" w:rsidP="009C5502">
      <w:pPr>
        <w:jc w:val="center"/>
        <w:rPr>
          <w:lang w:val="en-US"/>
        </w:rPr>
      </w:pPr>
      <w:r>
        <w:rPr>
          <w:noProof/>
          <w:lang w:val="en-US"/>
        </w:rPr>
        <w:drawing>
          <wp:inline distT="0" distB="0" distL="0" distR="0" wp14:anchorId="6A1A023F" wp14:editId="02D51FEE">
            <wp:extent cx="5756910" cy="10972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56910" cy="1097280"/>
                    </a:xfrm>
                    <a:prstGeom prst="rect">
                      <a:avLst/>
                    </a:prstGeom>
                    <a:noFill/>
                    <a:ln>
                      <a:noFill/>
                    </a:ln>
                  </pic:spPr>
                </pic:pic>
              </a:graphicData>
            </a:graphic>
          </wp:inline>
        </w:drawing>
      </w:r>
    </w:p>
    <w:p w14:paraId="409E7846" w14:textId="77777777" w:rsidR="009C5502" w:rsidRPr="003807A8" w:rsidRDefault="009C5502" w:rsidP="009C5502">
      <w:pPr>
        <w:jc w:val="both"/>
        <w:rPr>
          <w:i/>
          <w:iCs/>
          <w:sz w:val="20"/>
          <w:szCs w:val="20"/>
          <w:lang w:val="en-US"/>
        </w:rPr>
      </w:pPr>
      <w:r w:rsidRPr="003807A8">
        <w:rPr>
          <w:b/>
          <w:bCs/>
          <w:i/>
          <w:iCs/>
          <w:sz w:val="20"/>
          <w:szCs w:val="20"/>
          <w:lang w:val="en-US"/>
        </w:rPr>
        <w:t xml:space="preserve">Suppl. Figure </w:t>
      </w:r>
      <w:r w:rsidRPr="003807A8">
        <w:rPr>
          <w:b/>
          <w:bCs/>
          <w:i/>
          <w:iCs/>
          <w:sz w:val="20"/>
          <w:szCs w:val="20"/>
          <w:lang w:val="en-US"/>
        </w:rPr>
        <w:fldChar w:fldCharType="begin"/>
      </w:r>
      <w:r w:rsidRPr="003807A8">
        <w:rPr>
          <w:b/>
          <w:bCs/>
          <w:i/>
          <w:iCs/>
          <w:sz w:val="20"/>
          <w:szCs w:val="20"/>
          <w:lang w:val="en-US"/>
        </w:rPr>
        <w:instrText xml:space="preserve"> SEQ Suppl._Figure \* ARABIC </w:instrText>
      </w:r>
      <w:r w:rsidRPr="003807A8">
        <w:rPr>
          <w:b/>
          <w:bCs/>
          <w:i/>
          <w:iCs/>
          <w:sz w:val="20"/>
          <w:szCs w:val="20"/>
          <w:lang w:val="en-US"/>
        </w:rPr>
        <w:fldChar w:fldCharType="separate"/>
      </w:r>
      <w:r>
        <w:rPr>
          <w:b/>
          <w:bCs/>
          <w:i/>
          <w:iCs/>
          <w:noProof/>
          <w:sz w:val="20"/>
          <w:szCs w:val="20"/>
          <w:lang w:val="en-US"/>
        </w:rPr>
        <w:t>1</w:t>
      </w:r>
      <w:r w:rsidRPr="003807A8">
        <w:rPr>
          <w:b/>
          <w:bCs/>
          <w:i/>
          <w:iCs/>
          <w:sz w:val="20"/>
          <w:szCs w:val="20"/>
          <w:lang w:val="en-US"/>
        </w:rPr>
        <w:fldChar w:fldCharType="end"/>
      </w:r>
      <w:r w:rsidRPr="003807A8">
        <w:rPr>
          <w:b/>
          <w:bCs/>
          <w:i/>
          <w:iCs/>
          <w:sz w:val="20"/>
          <w:szCs w:val="20"/>
          <w:lang w:val="en-US"/>
        </w:rPr>
        <w:t>. Gating strategy for analysis of neutrophil subsets.</w:t>
      </w:r>
      <w:r w:rsidRPr="003807A8">
        <w:rPr>
          <w:i/>
          <w:iCs/>
          <w:sz w:val="20"/>
          <w:szCs w:val="20"/>
          <w:lang w:val="en-US"/>
        </w:rPr>
        <w:t xml:space="preserve"> White blood cells without debris and </w:t>
      </w:r>
      <w:proofErr w:type="spellStart"/>
      <w:r w:rsidRPr="003807A8">
        <w:rPr>
          <w:i/>
          <w:iCs/>
          <w:sz w:val="20"/>
          <w:szCs w:val="20"/>
          <w:lang w:val="en-US"/>
        </w:rPr>
        <w:t>unlysed</w:t>
      </w:r>
      <w:proofErr w:type="spellEnd"/>
      <w:r w:rsidRPr="003807A8">
        <w:rPr>
          <w:i/>
          <w:iCs/>
          <w:sz w:val="20"/>
          <w:szCs w:val="20"/>
          <w:lang w:val="en-US"/>
        </w:rPr>
        <w:t xml:space="preserve"> erythrocytes were gated based on FSC and SSC (lower left corner); granulocytes were gated based on FSC and SSC; eosinophils were gated out based on their CD16 and CD62L expression (CD16 negative). Finally, the neutrophil subsets (progenitor, CD16</w:t>
      </w:r>
      <w:r w:rsidRPr="003807A8">
        <w:rPr>
          <w:i/>
          <w:iCs/>
          <w:sz w:val="20"/>
          <w:szCs w:val="20"/>
          <w:vertAlign w:val="superscript"/>
          <w:lang w:val="en-US"/>
        </w:rPr>
        <w:t>low</w:t>
      </w:r>
      <w:r w:rsidRPr="003807A8">
        <w:rPr>
          <w:i/>
          <w:iCs/>
          <w:sz w:val="20"/>
          <w:szCs w:val="20"/>
          <w:lang w:val="en-US"/>
        </w:rPr>
        <w:t>-banded, mature and CD62L</w:t>
      </w:r>
      <w:r w:rsidRPr="003807A8">
        <w:rPr>
          <w:i/>
          <w:iCs/>
          <w:sz w:val="20"/>
          <w:szCs w:val="20"/>
          <w:vertAlign w:val="superscript"/>
          <w:lang w:val="en-US"/>
        </w:rPr>
        <w:t>low</w:t>
      </w:r>
      <w:r w:rsidRPr="003807A8">
        <w:rPr>
          <w:i/>
          <w:iCs/>
          <w:sz w:val="20"/>
          <w:szCs w:val="20"/>
          <w:lang w:val="en-US"/>
        </w:rPr>
        <w:t>-hypersegmented neutrophils) were gated based on their typical CD16 and CD62L expression patterns.</w:t>
      </w:r>
    </w:p>
    <w:p w14:paraId="1A78F7AA" w14:textId="77777777" w:rsidR="009C5502" w:rsidRDefault="009C5502" w:rsidP="009C5502">
      <w:pPr>
        <w:jc w:val="both"/>
        <w:rPr>
          <w:sz w:val="20"/>
          <w:szCs w:val="20"/>
          <w:lang w:val="en-US"/>
        </w:rPr>
      </w:pPr>
    </w:p>
    <w:p w14:paraId="2DC1ED41" w14:textId="77777777" w:rsidR="009C5502" w:rsidRDefault="009C5502" w:rsidP="009C5502">
      <w:pPr>
        <w:jc w:val="both"/>
        <w:rPr>
          <w:sz w:val="20"/>
          <w:szCs w:val="20"/>
          <w:lang w:val="en-US"/>
        </w:rPr>
      </w:pPr>
    </w:p>
    <w:p w14:paraId="03B7AECF" w14:textId="77777777" w:rsidR="009C5502" w:rsidRDefault="009C5502" w:rsidP="009C5502">
      <w:pPr>
        <w:jc w:val="both"/>
        <w:rPr>
          <w:sz w:val="20"/>
          <w:szCs w:val="20"/>
          <w:lang w:val="en-US"/>
        </w:rPr>
      </w:pPr>
    </w:p>
    <w:p w14:paraId="38B9E6A9" w14:textId="77777777" w:rsidR="009C5502" w:rsidRPr="007F001D" w:rsidRDefault="009C5502" w:rsidP="009C5502">
      <w:pPr>
        <w:jc w:val="both"/>
        <w:rPr>
          <w:sz w:val="20"/>
          <w:szCs w:val="20"/>
          <w:lang w:val="en-US"/>
        </w:rPr>
      </w:pPr>
    </w:p>
    <w:p w14:paraId="4ED2A25B" w14:textId="77777777" w:rsidR="009C5502" w:rsidRPr="007F001D" w:rsidRDefault="009C5502" w:rsidP="009C5502">
      <w:pPr>
        <w:jc w:val="center"/>
        <w:rPr>
          <w:lang w:val="en-US"/>
        </w:rPr>
      </w:pPr>
      <w:r>
        <w:rPr>
          <w:noProof/>
          <w:lang w:val="en-US"/>
        </w:rPr>
        <w:drawing>
          <wp:inline distT="0" distB="0" distL="0" distR="0" wp14:anchorId="4536964C" wp14:editId="5A30BB3A">
            <wp:extent cx="3904091" cy="1838790"/>
            <wp:effectExtent l="0" t="0" r="127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24411" cy="1848360"/>
                    </a:xfrm>
                    <a:prstGeom prst="rect">
                      <a:avLst/>
                    </a:prstGeom>
                    <a:noFill/>
                    <a:ln>
                      <a:noFill/>
                    </a:ln>
                  </pic:spPr>
                </pic:pic>
              </a:graphicData>
            </a:graphic>
          </wp:inline>
        </w:drawing>
      </w:r>
    </w:p>
    <w:p w14:paraId="01AB6969" w14:textId="77777777" w:rsidR="009C5502" w:rsidRPr="003807A8" w:rsidRDefault="009C5502" w:rsidP="009C5502">
      <w:pPr>
        <w:jc w:val="both"/>
        <w:rPr>
          <w:i/>
          <w:iCs/>
          <w:sz w:val="20"/>
          <w:szCs w:val="20"/>
          <w:lang w:val="en-US"/>
        </w:rPr>
      </w:pPr>
      <w:r w:rsidRPr="003807A8">
        <w:rPr>
          <w:b/>
          <w:bCs/>
          <w:i/>
          <w:iCs/>
          <w:sz w:val="20"/>
          <w:szCs w:val="20"/>
          <w:lang w:val="en-US"/>
        </w:rPr>
        <w:t>Suppl. Figure 2. Gating strategy for FACS analysis and cell sorting of neutrophil subsets from trauma patients</w:t>
      </w:r>
      <w:r>
        <w:rPr>
          <w:b/>
          <w:bCs/>
          <w:i/>
          <w:iCs/>
          <w:sz w:val="20"/>
          <w:szCs w:val="20"/>
          <w:lang w:val="en-US"/>
        </w:rPr>
        <w:t>’</w:t>
      </w:r>
      <w:r w:rsidRPr="003807A8">
        <w:rPr>
          <w:b/>
          <w:bCs/>
          <w:i/>
          <w:iCs/>
          <w:sz w:val="20"/>
          <w:szCs w:val="20"/>
          <w:lang w:val="en-US"/>
        </w:rPr>
        <w:t xml:space="preserve"> blood.</w:t>
      </w:r>
      <w:r w:rsidRPr="003807A8">
        <w:rPr>
          <w:i/>
          <w:iCs/>
          <w:sz w:val="20"/>
          <w:szCs w:val="20"/>
          <w:lang w:val="en-US"/>
        </w:rPr>
        <w:t xml:space="preserve"> Neutrophils were first identified using the lineage gating strategy described in </w:t>
      </w:r>
      <w:proofErr w:type="spellStart"/>
      <w:r w:rsidRPr="003807A8">
        <w:rPr>
          <w:i/>
          <w:iCs/>
          <w:sz w:val="20"/>
          <w:szCs w:val="20"/>
          <w:lang w:val="en-US"/>
        </w:rPr>
        <w:t>Duebel</w:t>
      </w:r>
      <w:proofErr w:type="spellEnd"/>
      <w:r w:rsidRPr="003807A8">
        <w:rPr>
          <w:i/>
          <w:iCs/>
          <w:sz w:val="20"/>
          <w:szCs w:val="20"/>
          <w:lang w:val="en-US"/>
        </w:rPr>
        <w:t xml:space="preserve"> et al. </w:t>
      </w:r>
      <w:r w:rsidRPr="003807A8">
        <w:rPr>
          <w:i/>
          <w:iCs/>
          <w:sz w:val="20"/>
          <w:szCs w:val="20"/>
          <w:lang w:val="en-US"/>
        </w:rPr>
        <w:fldChar w:fldCharType="begin"/>
      </w:r>
      <w:r>
        <w:rPr>
          <w:i/>
          <w:iCs/>
          <w:sz w:val="20"/>
          <w:szCs w:val="20"/>
          <w:lang w:val="en-US"/>
        </w:rPr>
        <w:instrText xml:space="preserve"> ADDIN EN.CITE &lt;EndNote&gt;&lt;Cite&gt;&lt;Author&gt;Duebel&lt;/Author&gt;&lt;Year&gt;2026&lt;/Year&gt;&lt;RecNum&gt;684&lt;/RecNum&gt;&lt;DisplayText&gt;(14)&lt;/DisplayText&gt;&lt;record&gt;&lt;rec-number&gt;684&lt;/rec-number&gt;&lt;foreign-keys&gt;&lt;key app="EN" db-id="e5f99z2s6f9dw8eaaszx029lt2atv0f92v9a" timestamp="1773400971"&gt;684&lt;/key&gt;&lt;/foreign-keys&gt;&lt;ref-type name="Journal Article"&gt;17&lt;/ref-type&gt;&lt;contributors&gt;&lt;authors&gt;&lt;author&gt;Duebel, L. V.&lt;/author&gt;&lt;author&gt;Dekker, S. O.&lt;/author&gt;&lt;author&gt;Bongers, S. H.&lt;/author&gt;&lt;author&gt;van Aalst, C.&lt;/author&gt;&lt;author&gt;Mulder, E.&lt;/author&gt;&lt;author&gt;Hietbrink, F.&lt;/author&gt;&lt;author&gt;Koenderman, L.&lt;/author&gt;&lt;author&gt;Vrisekoop, N.&lt;/author&gt;&lt;/authors&gt;&lt;/contributors&gt;&lt;titles&gt;&lt;title&gt;Increased bacterial load per neutrophil reduces intracellular killing capacity&lt;/title&gt;&lt;secondary-title&gt;J Innate Immun&lt;/secondary-title&gt;&lt;/titles&gt;&lt;periodical&gt;&lt;full-title&gt;J Innate Immun&lt;/full-title&gt;&lt;/periodical&gt;&lt;pages&gt;1-22&lt;/pages&gt;&lt;edition&gt;20260312&lt;/edition&gt;&lt;dates&gt;&lt;year&gt;2026&lt;/year&gt;&lt;pub-dates&gt;&lt;date&gt;Mar 12&lt;/date&gt;&lt;/pub-dates&gt;&lt;/dates&gt;&lt;isbn&gt;1662-8128 (Electronic)&amp;#xD;1662-811X (Linking)&lt;/isbn&gt;&lt;accession-num&gt;41818396&lt;/accession-num&gt;&lt;urls&gt;&lt;related-urls&gt;&lt;url&gt;https://www.ncbi.nlm.nih.gov/pubmed/41818396&lt;/url&gt;&lt;/related-urls&gt;&lt;/urls&gt;&lt;electronic-resource-num&gt;10.1159/000551415&lt;/electronic-resource-num&gt;&lt;remote-database-name&gt;Publisher&lt;/remote-database-name&gt;&lt;remote-database-provider&gt;NLM&lt;/remote-database-provider&gt;&lt;/record&gt;&lt;/Cite&gt;&lt;/EndNote&gt;</w:instrText>
      </w:r>
      <w:r w:rsidRPr="003807A8">
        <w:rPr>
          <w:i/>
          <w:iCs/>
          <w:sz w:val="20"/>
          <w:szCs w:val="20"/>
          <w:lang w:val="en-US"/>
        </w:rPr>
        <w:fldChar w:fldCharType="separate"/>
      </w:r>
      <w:r>
        <w:rPr>
          <w:i/>
          <w:iCs/>
          <w:noProof/>
          <w:sz w:val="20"/>
          <w:szCs w:val="20"/>
          <w:lang w:val="en-US"/>
        </w:rPr>
        <w:t>(14)</w:t>
      </w:r>
      <w:r w:rsidRPr="003807A8">
        <w:rPr>
          <w:i/>
          <w:iCs/>
          <w:sz w:val="20"/>
          <w:szCs w:val="20"/>
          <w:lang w:val="en-US"/>
        </w:rPr>
        <w:fldChar w:fldCharType="end"/>
      </w:r>
      <w:r w:rsidRPr="003807A8">
        <w:rPr>
          <w:i/>
          <w:iCs/>
          <w:sz w:val="20"/>
          <w:szCs w:val="20"/>
          <w:lang w:val="en-US"/>
        </w:rPr>
        <w:t xml:space="preserve"> Cells from the neutrophil lineage were then gated based on their typical CD16 and CD62L expression patterns. In the sample from the first days after trauma CD16</w:t>
      </w:r>
      <w:r w:rsidRPr="003807A8">
        <w:rPr>
          <w:i/>
          <w:iCs/>
          <w:sz w:val="20"/>
          <w:szCs w:val="20"/>
          <w:vertAlign w:val="superscript"/>
          <w:lang w:val="en-US"/>
        </w:rPr>
        <w:t>low</w:t>
      </w:r>
      <w:r w:rsidRPr="003807A8">
        <w:rPr>
          <w:i/>
          <w:iCs/>
          <w:sz w:val="20"/>
          <w:szCs w:val="20"/>
          <w:lang w:val="en-US"/>
        </w:rPr>
        <w:t>-banded, mature and CD62L</w:t>
      </w:r>
      <w:r w:rsidRPr="003807A8">
        <w:rPr>
          <w:i/>
          <w:iCs/>
          <w:sz w:val="20"/>
          <w:szCs w:val="20"/>
          <w:vertAlign w:val="superscript"/>
          <w:lang w:val="en-US"/>
        </w:rPr>
        <w:t>low</w:t>
      </w:r>
      <w:r w:rsidRPr="003807A8">
        <w:rPr>
          <w:i/>
          <w:iCs/>
          <w:sz w:val="20"/>
          <w:szCs w:val="20"/>
          <w:lang w:val="en-US"/>
        </w:rPr>
        <w:t xml:space="preserve">-hypersegmented neutrophils could be sorted </w:t>
      </w:r>
      <w:r w:rsidRPr="003807A8">
        <w:rPr>
          <w:b/>
          <w:bCs/>
          <w:i/>
          <w:iCs/>
          <w:sz w:val="20"/>
          <w:szCs w:val="20"/>
          <w:lang w:val="en-US"/>
        </w:rPr>
        <w:t>(A)</w:t>
      </w:r>
      <w:r w:rsidRPr="003807A8">
        <w:rPr>
          <w:i/>
          <w:iCs/>
          <w:sz w:val="20"/>
          <w:szCs w:val="20"/>
          <w:lang w:val="en-US"/>
        </w:rPr>
        <w:t>. At later time points, CD16</w:t>
      </w:r>
      <w:r w:rsidRPr="003807A8">
        <w:rPr>
          <w:i/>
          <w:iCs/>
          <w:sz w:val="20"/>
          <w:szCs w:val="20"/>
          <w:vertAlign w:val="superscript"/>
          <w:lang w:val="en-US"/>
        </w:rPr>
        <w:t>low</w:t>
      </w:r>
      <w:r w:rsidRPr="003807A8">
        <w:rPr>
          <w:i/>
          <w:iCs/>
          <w:sz w:val="20"/>
          <w:szCs w:val="20"/>
          <w:lang w:val="en-US"/>
        </w:rPr>
        <w:t xml:space="preserve">-banded neutrophils were no longer present in peripheral blood and instead neutrophil progenitors could be sorted </w:t>
      </w:r>
      <w:r w:rsidRPr="003807A8">
        <w:rPr>
          <w:b/>
          <w:bCs/>
          <w:i/>
          <w:iCs/>
          <w:sz w:val="20"/>
          <w:szCs w:val="20"/>
          <w:lang w:val="en-US"/>
        </w:rPr>
        <w:t>(B)</w:t>
      </w:r>
      <w:r w:rsidRPr="003807A8">
        <w:rPr>
          <w:i/>
          <w:iCs/>
          <w:sz w:val="20"/>
          <w:szCs w:val="20"/>
          <w:lang w:val="en-US"/>
        </w:rPr>
        <w:t>.</w:t>
      </w:r>
    </w:p>
    <w:p w14:paraId="27F78749" w14:textId="77777777" w:rsidR="009C5502" w:rsidRPr="007F001D" w:rsidRDefault="009C5502" w:rsidP="009C5502">
      <w:pPr>
        <w:jc w:val="center"/>
        <w:rPr>
          <w:lang w:val="en-US"/>
        </w:rPr>
      </w:pPr>
      <w:r w:rsidRPr="007F001D">
        <w:rPr>
          <w:noProof/>
          <w:sz w:val="20"/>
          <w:szCs w:val="20"/>
          <w:lang w:val="en-US"/>
        </w:rPr>
        <w:drawing>
          <wp:inline distT="0" distB="0" distL="0" distR="0" wp14:anchorId="1A8B73D8" wp14:editId="72E7DBCA">
            <wp:extent cx="2564613" cy="2363256"/>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0395" cy="2377799"/>
                    </a:xfrm>
                    <a:prstGeom prst="rect">
                      <a:avLst/>
                    </a:prstGeom>
                    <a:noFill/>
                    <a:ln>
                      <a:noFill/>
                    </a:ln>
                  </pic:spPr>
                </pic:pic>
              </a:graphicData>
            </a:graphic>
          </wp:inline>
        </w:drawing>
      </w:r>
    </w:p>
    <w:p w14:paraId="5E0DC074" w14:textId="77777777" w:rsidR="009C5502" w:rsidRPr="007F001D" w:rsidRDefault="009C5502" w:rsidP="009C5502">
      <w:pPr>
        <w:jc w:val="both"/>
        <w:rPr>
          <w:sz w:val="20"/>
          <w:szCs w:val="20"/>
          <w:lang w:val="en-US"/>
        </w:rPr>
      </w:pPr>
    </w:p>
    <w:p w14:paraId="509D172E" w14:textId="77777777" w:rsidR="009C5502" w:rsidRPr="003807A8" w:rsidRDefault="009C5502" w:rsidP="009C5502">
      <w:pPr>
        <w:jc w:val="both"/>
        <w:rPr>
          <w:i/>
          <w:iCs/>
          <w:sz w:val="20"/>
          <w:szCs w:val="20"/>
          <w:lang w:val="en-US"/>
        </w:rPr>
      </w:pPr>
      <w:r w:rsidRPr="003807A8">
        <w:rPr>
          <w:b/>
          <w:bCs/>
          <w:i/>
          <w:iCs/>
          <w:sz w:val="20"/>
          <w:szCs w:val="20"/>
          <w:lang w:val="en-US"/>
        </w:rPr>
        <w:t>Suppl. Figure 3. Gating strategy for FACS analysis and sorting of GFP+ neutrophils.</w:t>
      </w:r>
      <w:r w:rsidRPr="003807A8">
        <w:rPr>
          <w:i/>
          <w:iCs/>
          <w:sz w:val="20"/>
          <w:szCs w:val="20"/>
          <w:lang w:val="en-US"/>
        </w:rPr>
        <w:t xml:space="preserve"> Single cells were gated based on FSC-A and FSC-W, and the granulocyte population (excluding debris) was gated based on FSC-A and SSC-A, </w:t>
      </w:r>
      <w:r w:rsidRPr="003807A8">
        <w:rPr>
          <w:rStyle w:val="Strong"/>
          <w:b w:val="0"/>
          <w:bCs w:val="0"/>
          <w:i/>
          <w:iCs/>
          <w:sz w:val="20"/>
          <w:szCs w:val="20"/>
          <w:lang w:val="en-US"/>
        </w:rPr>
        <w:t xml:space="preserve">as described in </w:t>
      </w:r>
      <w:proofErr w:type="spellStart"/>
      <w:r w:rsidRPr="003807A8">
        <w:rPr>
          <w:rStyle w:val="Strong"/>
          <w:b w:val="0"/>
          <w:bCs w:val="0"/>
          <w:i/>
          <w:iCs/>
          <w:sz w:val="20"/>
          <w:szCs w:val="20"/>
          <w:lang w:val="en-US"/>
        </w:rPr>
        <w:t>Duebel</w:t>
      </w:r>
      <w:proofErr w:type="spellEnd"/>
      <w:r w:rsidRPr="003807A8">
        <w:rPr>
          <w:rStyle w:val="Strong"/>
          <w:b w:val="0"/>
          <w:bCs w:val="0"/>
          <w:i/>
          <w:iCs/>
          <w:sz w:val="20"/>
          <w:szCs w:val="20"/>
          <w:lang w:val="en-US"/>
        </w:rPr>
        <w:t xml:space="preserve"> et al. </w:t>
      </w:r>
      <w:r w:rsidRPr="003807A8">
        <w:rPr>
          <w:rStyle w:val="Strong"/>
          <w:b w:val="0"/>
          <w:bCs w:val="0"/>
          <w:i/>
          <w:iCs/>
          <w:sz w:val="20"/>
          <w:szCs w:val="20"/>
          <w:lang w:val="en-US"/>
        </w:rPr>
        <w:fldChar w:fldCharType="begin"/>
      </w:r>
      <w:r>
        <w:rPr>
          <w:rStyle w:val="Strong"/>
          <w:b w:val="0"/>
          <w:bCs w:val="0"/>
          <w:i/>
          <w:iCs/>
          <w:sz w:val="20"/>
          <w:szCs w:val="20"/>
          <w:lang w:val="en-US"/>
        </w:rPr>
        <w:instrText xml:space="preserve"> ADDIN EN.CITE &lt;EndNote&gt;&lt;Cite&gt;&lt;Author&gt;Duebel&lt;/Author&gt;&lt;Year&gt;2026&lt;/Year&gt;&lt;RecNum&gt;684&lt;/RecNum&gt;&lt;DisplayText&gt;(14)&lt;/DisplayText&gt;&lt;record&gt;&lt;rec-number&gt;684&lt;/rec-number&gt;&lt;foreign-keys&gt;&lt;key app="EN" db-id="e5f99z2s6f9dw8eaaszx029lt2atv0f92v9a" timestamp="1773400971"&gt;684&lt;/key&gt;&lt;/foreign-keys&gt;&lt;ref-type name="Journal Article"&gt;17&lt;/ref-type&gt;&lt;contributors&gt;&lt;authors&gt;&lt;author&gt;Duebel, L. V.&lt;/author&gt;&lt;author&gt;Dekker, S. O.&lt;/author&gt;&lt;author&gt;Bongers, S. H.&lt;/author&gt;&lt;author&gt;van Aalst, C.&lt;/author&gt;&lt;author&gt;Mulder, E.&lt;/author&gt;&lt;author&gt;Hietbrink, F.&lt;/author&gt;&lt;author&gt;Koenderman, L.&lt;/author&gt;&lt;author&gt;Vrisekoop, N.&lt;/author&gt;&lt;/authors&gt;&lt;/contributors&gt;&lt;titles&gt;&lt;title&gt;Increased bacterial load per neutrophil reduces intracellular killing capacity&lt;/title&gt;&lt;secondary-title&gt;J Innate Immun&lt;/secondary-title&gt;&lt;/titles&gt;&lt;periodical&gt;&lt;full-title&gt;J Innate Immun&lt;/full-title&gt;&lt;/periodical&gt;&lt;pages&gt;1-22&lt;/pages&gt;&lt;edition&gt;20260312&lt;/edition&gt;&lt;dates&gt;&lt;year&gt;2026&lt;/year&gt;&lt;pub-dates&gt;&lt;date&gt;Mar 12&lt;/date&gt;&lt;/pub-dates&gt;&lt;/dates&gt;&lt;isbn&gt;1662-8128 (Electronic)&amp;#xD;1662-811X (Linking)&lt;/isbn&gt;&lt;accession-num&gt;41818396&lt;/accession-num&gt;&lt;urls&gt;&lt;related-urls&gt;&lt;url&gt;https://www.ncbi.nlm.nih.gov/pubmed/41818396&lt;/url&gt;&lt;/related-urls&gt;&lt;/urls&gt;&lt;electronic-resource-num&gt;10.1159/000551415&lt;/electronic-resource-num&gt;&lt;remote-database-name&gt;Publisher&lt;/remote-database-name&gt;&lt;remote-database-provider&gt;NLM&lt;/remote-database-provider&gt;&lt;/record&gt;&lt;/Cite&gt;&lt;/EndNote&gt;</w:instrText>
      </w:r>
      <w:r w:rsidRPr="003807A8">
        <w:rPr>
          <w:rStyle w:val="Strong"/>
          <w:b w:val="0"/>
          <w:bCs w:val="0"/>
          <w:i/>
          <w:iCs/>
          <w:sz w:val="20"/>
          <w:szCs w:val="20"/>
          <w:lang w:val="en-US"/>
        </w:rPr>
        <w:fldChar w:fldCharType="separate"/>
      </w:r>
      <w:r>
        <w:rPr>
          <w:rStyle w:val="Strong"/>
          <w:b w:val="0"/>
          <w:bCs w:val="0"/>
          <w:i/>
          <w:iCs/>
          <w:noProof/>
          <w:sz w:val="20"/>
          <w:szCs w:val="20"/>
          <w:lang w:val="en-US"/>
        </w:rPr>
        <w:t>(14)</w:t>
      </w:r>
      <w:r w:rsidRPr="003807A8">
        <w:rPr>
          <w:rStyle w:val="Strong"/>
          <w:b w:val="0"/>
          <w:bCs w:val="0"/>
          <w:i/>
          <w:iCs/>
          <w:sz w:val="20"/>
          <w:szCs w:val="20"/>
          <w:lang w:val="en-US"/>
        </w:rPr>
        <w:fldChar w:fldCharType="end"/>
      </w:r>
      <w:r w:rsidRPr="003807A8">
        <w:rPr>
          <w:rStyle w:val="Strong"/>
          <w:b w:val="0"/>
          <w:bCs w:val="0"/>
          <w:i/>
          <w:iCs/>
          <w:sz w:val="20"/>
          <w:szCs w:val="20"/>
          <w:lang w:val="en-US"/>
        </w:rPr>
        <w:t xml:space="preserve"> </w:t>
      </w:r>
      <w:r w:rsidRPr="003807A8">
        <w:rPr>
          <w:i/>
          <w:iCs/>
          <w:sz w:val="20"/>
          <w:szCs w:val="20"/>
          <w:lang w:val="en-US"/>
        </w:rPr>
        <w:t>GFP+ neutrophils (phagocytosis of GFP expressing S. aureus) were gated based on SSC-A and GFP signal.</w:t>
      </w:r>
    </w:p>
    <w:p w14:paraId="358F0EE9" w14:textId="77777777" w:rsidR="009C5502" w:rsidRDefault="009C5502" w:rsidP="009C5502">
      <w:pPr>
        <w:jc w:val="both"/>
        <w:rPr>
          <w:b/>
          <w:bCs/>
          <w:lang w:val="en-US"/>
        </w:rPr>
      </w:pPr>
    </w:p>
    <w:p w14:paraId="4C3BDA42" w14:textId="77777777" w:rsidR="009C5502" w:rsidRDefault="009C5502" w:rsidP="009C5502">
      <w:pPr>
        <w:jc w:val="both"/>
        <w:rPr>
          <w:b/>
          <w:bCs/>
          <w:lang w:val="en-US"/>
        </w:rPr>
      </w:pPr>
    </w:p>
    <w:p w14:paraId="2F30F91C" w14:textId="77777777" w:rsidR="009C5502" w:rsidRDefault="009C5502" w:rsidP="009C5502">
      <w:pPr>
        <w:jc w:val="both"/>
        <w:rPr>
          <w:b/>
          <w:bCs/>
          <w:lang w:val="en-US"/>
        </w:rPr>
      </w:pPr>
    </w:p>
    <w:p w14:paraId="04D16691" w14:textId="77777777" w:rsidR="009C5502" w:rsidRDefault="009C5502" w:rsidP="009C5502">
      <w:pPr>
        <w:jc w:val="both"/>
        <w:rPr>
          <w:b/>
          <w:bCs/>
          <w:lang w:val="en-US"/>
        </w:rPr>
      </w:pPr>
    </w:p>
    <w:p w14:paraId="70586F69" w14:textId="77777777" w:rsidR="009C5502" w:rsidRDefault="009C5502" w:rsidP="009C5502">
      <w:pPr>
        <w:jc w:val="both"/>
        <w:rPr>
          <w:b/>
          <w:bCs/>
          <w:lang w:val="en-US"/>
        </w:rPr>
      </w:pPr>
    </w:p>
    <w:p w14:paraId="0BB70BD4" w14:textId="77777777" w:rsidR="009C5502" w:rsidRDefault="009C5502" w:rsidP="009C5502">
      <w:pPr>
        <w:jc w:val="both"/>
        <w:rPr>
          <w:b/>
          <w:bCs/>
          <w:lang w:val="en-US"/>
        </w:rPr>
      </w:pPr>
    </w:p>
    <w:p w14:paraId="084D8116" w14:textId="77777777" w:rsidR="009C5502" w:rsidRPr="003807A8" w:rsidRDefault="009C5502" w:rsidP="009C5502">
      <w:pPr>
        <w:jc w:val="both"/>
        <w:rPr>
          <w:b/>
          <w:bCs/>
          <w:lang w:val="en-US"/>
        </w:rPr>
      </w:pPr>
    </w:p>
    <w:p w14:paraId="205DDDE5" w14:textId="77777777" w:rsidR="009C5502" w:rsidRPr="003807A8" w:rsidRDefault="009C5502" w:rsidP="009C5502">
      <w:pPr>
        <w:jc w:val="both"/>
        <w:rPr>
          <w:i/>
          <w:iCs/>
          <w:sz w:val="20"/>
          <w:szCs w:val="20"/>
          <w:lang w:val="en-US"/>
        </w:rPr>
      </w:pPr>
      <w:r w:rsidRPr="003807A8">
        <w:rPr>
          <w:b/>
          <w:bCs/>
          <w:i/>
          <w:iCs/>
          <w:sz w:val="20"/>
          <w:szCs w:val="20"/>
          <w:lang w:val="en-US"/>
        </w:rPr>
        <w:t xml:space="preserve">Suppl. Table </w:t>
      </w:r>
      <w:r w:rsidRPr="003807A8">
        <w:rPr>
          <w:b/>
          <w:bCs/>
          <w:i/>
          <w:iCs/>
          <w:sz w:val="20"/>
          <w:szCs w:val="20"/>
          <w:lang w:val="en-US"/>
        </w:rPr>
        <w:fldChar w:fldCharType="begin"/>
      </w:r>
      <w:r w:rsidRPr="003807A8">
        <w:rPr>
          <w:b/>
          <w:bCs/>
          <w:i/>
          <w:iCs/>
          <w:sz w:val="20"/>
          <w:szCs w:val="20"/>
          <w:lang w:val="en-US"/>
        </w:rPr>
        <w:instrText xml:space="preserve"> SEQ Supplementary_Table \* ARABIC </w:instrText>
      </w:r>
      <w:r w:rsidRPr="003807A8">
        <w:rPr>
          <w:b/>
          <w:bCs/>
          <w:i/>
          <w:iCs/>
          <w:sz w:val="20"/>
          <w:szCs w:val="20"/>
          <w:lang w:val="en-US"/>
        </w:rPr>
        <w:fldChar w:fldCharType="separate"/>
      </w:r>
      <w:r>
        <w:rPr>
          <w:b/>
          <w:bCs/>
          <w:i/>
          <w:iCs/>
          <w:noProof/>
          <w:sz w:val="20"/>
          <w:szCs w:val="20"/>
          <w:lang w:val="en-US"/>
        </w:rPr>
        <w:t>1</w:t>
      </w:r>
      <w:r w:rsidRPr="003807A8">
        <w:rPr>
          <w:b/>
          <w:bCs/>
          <w:i/>
          <w:iCs/>
          <w:sz w:val="20"/>
          <w:szCs w:val="20"/>
          <w:lang w:val="en-US"/>
        </w:rPr>
        <w:fldChar w:fldCharType="end"/>
      </w:r>
      <w:r w:rsidRPr="003807A8">
        <w:rPr>
          <w:b/>
          <w:bCs/>
          <w:i/>
          <w:iCs/>
          <w:sz w:val="20"/>
          <w:szCs w:val="20"/>
          <w:lang w:val="en-US"/>
        </w:rPr>
        <w:t xml:space="preserve">. Antibodies </w:t>
      </w:r>
      <w:proofErr w:type="gramStart"/>
      <w:r w:rsidRPr="003807A8">
        <w:rPr>
          <w:b/>
          <w:bCs/>
          <w:i/>
          <w:iCs/>
          <w:sz w:val="20"/>
          <w:szCs w:val="20"/>
          <w:lang w:val="en-US"/>
        </w:rPr>
        <w:t>used</w:t>
      </w:r>
      <w:proofErr w:type="gramEnd"/>
      <w:r w:rsidRPr="003807A8">
        <w:rPr>
          <w:b/>
          <w:bCs/>
          <w:i/>
          <w:iCs/>
          <w:sz w:val="20"/>
          <w:szCs w:val="20"/>
          <w:lang w:val="en-US"/>
        </w:rPr>
        <w:t xml:space="preserve"> for flow cytometric measuring (phenotyping) and cell sorting of the neutrophil population</w:t>
      </w:r>
      <w:r>
        <w:rPr>
          <w:b/>
          <w:bCs/>
          <w:i/>
          <w:iCs/>
          <w:sz w:val="20"/>
          <w:szCs w:val="20"/>
          <w:lang w:val="en-US"/>
        </w:rPr>
        <w:t>s.</w:t>
      </w:r>
    </w:p>
    <w:tbl>
      <w:tblPr>
        <w:tblW w:w="9300" w:type="dxa"/>
        <w:jc w:val="center"/>
        <w:tblLook w:val="04A0" w:firstRow="1" w:lastRow="0" w:firstColumn="1" w:lastColumn="0" w:noHBand="0" w:noVBand="1"/>
      </w:tblPr>
      <w:tblGrid>
        <w:gridCol w:w="1860"/>
        <w:gridCol w:w="1860"/>
        <w:gridCol w:w="1860"/>
        <w:gridCol w:w="1860"/>
        <w:gridCol w:w="1860"/>
      </w:tblGrid>
      <w:tr w:rsidR="009C5502" w:rsidRPr="007F001D" w14:paraId="650152E6" w14:textId="77777777" w:rsidTr="00107E7E">
        <w:trPr>
          <w:trHeight w:val="300"/>
          <w:jc w:val="center"/>
        </w:trPr>
        <w:tc>
          <w:tcPr>
            <w:tcW w:w="1860" w:type="dxa"/>
            <w:tcBorders>
              <w:top w:val="single" w:sz="8" w:space="0" w:color="auto"/>
              <w:left w:val="single" w:sz="8" w:space="0" w:color="auto"/>
              <w:bottom w:val="nil"/>
              <w:right w:val="nil"/>
            </w:tcBorders>
            <w:noWrap/>
            <w:vAlign w:val="bottom"/>
            <w:hideMark/>
          </w:tcPr>
          <w:p w14:paraId="4C1656CF" w14:textId="77777777" w:rsidR="009C5502" w:rsidRPr="007F001D" w:rsidRDefault="009C5502" w:rsidP="00107E7E">
            <w:pPr>
              <w:spacing w:after="0" w:line="240" w:lineRule="auto"/>
              <w:jc w:val="both"/>
              <w:rPr>
                <w:rFonts w:eastAsia="Times New Roman" w:cstheme="minorHAnsi"/>
                <w:b/>
                <w:bCs/>
                <w:lang w:val="en-US"/>
              </w:rPr>
            </w:pPr>
            <w:r w:rsidRPr="007F001D">
              <w:rPr>
                <w:rFonts w:eastAsia="Times New Roman" w:cstheme="minorHAnsi"/>
                <w:b/>
                <w:bCs/>
                <w:lang w:val="en-US"/>
              </w:rPr>
              <w:t>Antibody panel</w:t>
            </w:r>
          </w:p>
        </w:tc>
        <w:tc>
          <w:tcPr>
            <w:tcW w:w="1860" w:type="dxa"/>
            <w:tcBorders>
              <w:top w:val="single" w:sz="8" w:space="0" w:color="auto"/>
              <w:left w:val="nil"/>
              <w:bottom w:val="nil"/>
              <w:right w:val="nil"/>
            </w:tcBorders>
            <w:vAlign w:val="center"/>
            <w:hideMark/>
          </w:tcPr>
          <w:p w14:paraId="100D1B05" w14:textId="77777777" w:rsidR="009C5502" w:rsidRPr="007F001D" w:rsidRDefault="009C5502" w:rsidP="00107E7E">
            <w:pPr>
              <w:spacing w:after="0" w:line="240" w:lineRule="auto"/>
              <w:jc w:val="both"/>
              <w:rPr>
                <w:rFonts w:eastAsia="Times New Roman" w:cstheme="minorHAnsi"/>
                <w:b/>
                <w:bCs/>
                <w:lang w:val="en-US"/>
              </w:rPr>
            </w:pPr>
            <w:r w:rsidRPr="007F001D">
              <w:rPr>
                <w:rFonts w:eastAsia="Times New Roman" w:cstheme="minorHAnsi"/>
                <w:b/>
                <w:bCs/>
                <w:lang w:val="en-US"/>
              </w:rPr>
              <w:t>Antibody target</w:t>
            </w:r>
          </w:p>
        </w:tc>
        <w:tc>
          <w:tcPr>
            <w:tcW w:w="1860" w:type="dxa"/>
            <w:tcBorders>
              <w:top w:val="single" w:sz="8" w:space="0" w:color="auto"/>
              <w:left w:val="nil"/>
              <w:bottom w:val="nil"/>
              <w:right w:val="nil"/>
            </w:tcBorders>
            <w:vAlign w:val="center"/>
            <w:hideMark/>
          </w:tcPr>
          <w:p w14:paraId="61D23DCB" w14:textId="77777777" w:rsidR="009C5502" w:rsidRPr="007F001D" w:rsidRDefault="009C5502" w:rsidP="00107E7E">
            <w:pPr>
              <w:spacing w:after="0" w:line="240" w:lineRule="auto"/>
              <w:jc w:val="both"/>
              <w:rPr>
                <w:rFonts w:eastAsia="Times New Roman" w:cstheme="minorHAnsi"/>
                <w:b/>
                <w:bCs/>
                <w:lang w:val="en-US"/>
              </w:rPr>
            </w:pPr>
            <w:r w:rsidRPr="007F001D">
              <w:rPr>
                <w:rFonts w:eastAsia="Times New Roman" w:cstheme="minorHAnsi"/>
                <w:b/>
                <w:bCs/>
                <w:lang w:val="en-US"/>
              </w:rPr>
              <w:t>Fluorochrome</w:t>
            </w:r>
          </w:p>
        </w:tc>
        <w:tc>
          <w:tcPr>
            <w:tcW w:w="1860" w:type="dxa"/>
            <w:tcBorders>
              <w:top w:val="single" w:sz="8" w:space="0" w:color="auto"/>
              <w:left w:val="nil"/>
              <w:bottom w:val="nil"/>
              <w:right w:val="nil"/>
            </w:tcBorders>
            <w:vAlign w:val="center"/>
            <w:hideMark/>
          </w:tcPr>
          <w:p w14:paraId="599990AD" w14:textId="77777777" w:rsidR="009C5502" w:rsidRPr="007F001D" w:rsidRDefault="009C5502" w:rsidP="00107E7E">
            <w:pPr>
              <w:spacing w:after="0" w:line="240" w:lineRule="auto"/>
              <w:jc w:val="both"/>
              <w:rPr>
                <w:rFonts w:eastAsia="Times New Roman" w:cstheme="minorHAnsi"/>
                <w:b/>
                <w:bCs/>
                <w:lang w:val="en-US"/>
              </w:rPr>
            </w:pPr>
            <w:r w:rsidRPr="007F001D">
              <w:rPr>
                <w:rFonts w:eastAsia="Times New Roman" w:cstheme="minorHAnsi"/>
                <w:b/>
                <w:bCs/>
                <w:lang w:val="en-US"/>
              </w:rPr>
              <w:t>Clone</w:t>
            </w:r>
          </w:p>
        </w:tc>
        <w:tc>
          <w:tcPr>
            <w:tcW w:w="1860" w:type="dxa"/>
            <w:tcBorders>
              <w:top w:val="single" w:sz="8" w:space="0" w:color="auto"/>
              <w:left w:val="nil"/>
              <w:bottom w:val="nil"/>
              <w:right w:val="single" w:sz="8" w:space="0" w:color="auto"/>
            </w:tcBorders>
            <w:vAlign w:val="center"/>
            <w:hideMark/>
          </w:tcPr>
          <w:p w14:paraId="73502751" w14:textId="77777777" w:rsidR="009C5502" w:rsidRPr="007F001D" w:rsidRDefault="009C5502" w:rsidP="00107E7E">
            <w:pPr>
              <w:spacing w:after="0" w:line="240" w:lineRule="auto"/>
              <w:jc w:val="both"/>
              <w:rPr>
                <w:rFonts w:eastAsia="Times New Roman" w:cstheme="minorHAnsi"/>
                <w:b/>
                <w:bCs/>
                <w:lang w:val="en-US"/>
              </w:rPr>
            </w:pPr>
            <w:r w:rsidRPr="007F001D">
              <w:rPr>
                <w:rFonts w:eastAsia="Times New Roman" w:cstheme="minorHAnsi"/>
                <w:b/>
                <w:bCs/>
                <w:lang w:val="en-US"/>
              </w:rPr>
              <w:t>Manufacturer</w:t>
            </w:r>
          </w:p>
        </w:tc>
      </w:tr>
      <w:tr w:rsidR="009C5502" w:rsidRPr="007F001D" w14:paraId="1AFC38F1" w14:textId="77777777" w:rsidTr="00107E7E">
        <w:trPr>
          <w:trHeight w:val="300"/>
          <w:jc w:val="center"/>
        </w:trPr>
        <w:tc>
          <w:tcPr>
            <w:tcW w:w="1860" w:type="dxa"/>
            <w:vMerge w:val="restart"/>
            <w:tcBorders>
              <w:top w:val="single" w:sz="4" w:space="0" w:color="auto"/>
              <w:left w:val="single" w:sz="8" w:space="0" w:color="auto"/>
              <w:bottom w:val="nil"/>
              <w:right w:val="nil"/>
            </w:tcBorders>
            <w:hideMark/>
          </w:tcPr>
          <w:p w14:paraId="7ED620C9" w14:textId="77777777" w:rsidR="009C5502" w:rsidRPr="007F001D" w:rsidRDefault="009C5502" w:rsidP="00107E7E">
            <w:pPr>
              <w:spacing w:after="0" w:line="240" w:lineRule="auto"/>
              <w:jc w:val="both"/>
              <w:rPr>
                <w:rFonts w:eastAsia="Times New Roman" w:cstheme="minorHAnsi"/>
                <w:i/>
                <w:iCs/>
                <w:lang w:val="en-US"/>
              </w:rPr>
            </w:pPr>
            <w:r w:rsidRPr="007F001D">
              <w:rPr>
                <w:rFonts w:eastAsia="Times New Roman" w:cstheme="minorHAnsi"/>
                <w:i/>
                <w:iCs/>
                <w:lang w:val="en-US"/>
              </w:rPr>
              <w:t>Phenotyping panel (AQUIOS)</w:t>
            </w:r>
          </w:p>
        </w:tc>
        <w:tc>
          <w:tcPr>
            <w:tcW w:w="1860" w:type="dxa"/>
            <w:tcBorders>
              <w:top w:val="single" w:sz="4" w:space="0" w:color="auto"/>
              <w:left w:val="nil"/>
              <w:bottom w:val="nil"/>
              <w:right w:val="nil"/>
            </w:tcBorders>
            <w:vAlign w:val="center"/>
            <w:hideMark/>
          </w:tcPr>
          <w:p w14:paraId="77B4BA0C"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CD16</w:t>
            </w:r>
          </w:p>
        </w:tc>
        <w:tc>
          <w:tcPr>
            <w:tcW w:w="1860" w:type="dxa"/>
            <w:tcBorders>
              <w:top w:val="single" w:sz="4" w:space="0" w:color="auto"/>
              <w:left w:val="nil"/>
              <w:bottom w:val="nil"/>
              <w:right w:val="nil"/>
            </w:tcBorders>
            <w:vAlign w:val="center"/>
            <w:hideMark/>
          </w:tcPr>
          <w:p w14:paraId="6B526873"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FITC</w:t>
            </w:r>
          </w:p>
        </w:tc>
        <w:tc>
          <w:tcPr>
            <w:tcW w:w="1860" w:type="dxa"/>
            <w:tcBorders>
              <w:top w:val="single" w:sz="4" w:space="0" w:color="auto"/>
              <w:left w:val="nil"/>
              <w:bottom w:val="nil"/>
              <w:right w:val="nil"/>
            </w:tcBorders>
            <w:vAlign w:val="center"/>
            <w:hideMark/>
          </w:tcPr>
          <w:p w14:paraId="537DFAFD"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3G8</w:t>
            </w:r>
          </w:p>
        </w:tc>
        <w:tc>
          <w:tcPr>
            <w:tcW w:w="1860" w:type="dxa"/>
            <w:tcBorders>
              <w:top w:val="single" w:sz="4" w:space="0" w:color="auto"/>
              <w:left w:val="nil"/>
              <w:bottom w:val="nil"/>
              <w:right w:val="single" w:sz="8" w:space="0" w:color="auto"/>
            </w:tcBorders>
            <w:noWrap/>
            <w:vAlign w:val="bottom"/>
            <w:hideMark/>
          </w:tcPr>
          <w:p w14:paraId="23129574"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Beckman Coulter</w:t>
            </w:r>
          </w:p>
        </w:tc>
      </w:tr>
      <w:tr w:rsidR="009C5502" w:rsidRPr="007F001D" w14:paraId="6A6E0276" w14:textId="77777777" w:rsidTr="00107E7E">
        <w:trPr>
          <w:trHeight w:val="300"/>
          <w:jc w:val="center"/>
        </w:trPr>
        <w:tc>
          <w:tcPr>
            <w:tcW w:w="1860" w:type="dxa"/>
            <w:vMerge/>
            <w:tcBorders>
              <w:top w:val="single" w:sz="4" w:space="0" w:color="auto"/>
              <w:left w:val="single" w:sz="8" w:space="0" w:color="auto"/>
              <w:bottom w:val="nil"/>
              <w:right w:val="nil"/>
            </w:tcBorders>
            <w:vAlign w:val="center"/>
            <w:hideMark/>
          </w:tcPr>
          <w:p w14:paraId="5921390F"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nil"/>
              <w:right w:val="nil"/>
            </w:tcBorders>
            <w:vAlign w:val="center"/>
            <w:hideMark/>
          </w:tcPr>
          <w:p w14:paraId="6A96E789"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CD11b</w:t>
            </w:r>
          </w:p>
        </w:tc>
        <w:tc>
          <w:tcPr>
            <w:tcW w:w="1860" w:type="dxa"/>
            <w:tcBorders>
              <w:top w:val="nil"/>
              <w:left w:val="nil"/>
              <w:bottom w:val="nil"/>
              <w:right w:val="nil"/>
            </w:tcBorders>
            <w:vAlign w:val="center"/>
            <w:hideMark/>
          </w:tcPr>
          <w:p w14:paraId="3A3D72F9"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PE</w:t>
            </w:r>
          </w:p>
        </w:tc>
        <w:tc>
          <w:tcPr>
            <w:tcW w:w="1860" w:type="dxa"/>
            <w:tcBorders>
              <w:top w:val="nil"/>
              <w:left w:val="nil"/>
              <w:bottom w:val="nil"/>
              <w:right w:val="nil"/>
            </w:tcBorders>
            <w:vAlign w:val="center"/>
            <w:hideMark/>
          </w:tcPr>
          <w:p w14:paraId="62708C21"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Bear1</w:t>
            </w:r>
          </w:p>
        </w:tc>
        <w:tc>
          <w:tcPr>
            <w:tcW w:w="1860" w:type="dxa"/>
            <w:tcBorders>
              <w:top w:val="nil"/>
              <w:left w:val="nil"/>
              <w:bottom w:val="nil"/>
              <w:right w:val="single" w:sz="8" w:space="0" w:color="auto"/>
            </w:tcBorders>
            <w:vAlign w:val="center"/>
            <w:hideMark/>
          </w:tcPr>
          <w:p w14:paraId="12BCA761"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Beckman Coulter</w:t>
            </w:r>
          </w:p>
        </w:tc>
      </w:tr>
      <w:tr w:rsidR="009C5502" w:rsidRPr="007F001D" w14:paraId="36D65055" w14:textId="77777777" w:rsidTr="00107E7E">
        <w:trPr>
          <w:trHeight w:val="300"/>
          <w:jc w:val="center"/>
        </w:trPr>
        <w:tc>
          <w:tcPr>
            <w:tcW w:w="1860" w:type="dxa"/>
            <w:vMerge/>
            <w:tcBorders>
              <w:top w:val="single" w:sz="4" w:space="0" w:color="auto"/>
              <w:left w:val="single" w:sz="8" w:space="0" w:color="auto"/>
              <w:bottom w:val="nil"/>
              <w:right w:val="nil"/>
            </w:tcBorders>
            <w:vAlign w:val="center"/>
            <w:hideMark/>
          </w:tcPr>
          <w:p w14:paraId="19615AFC"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nil"/>
              <w:right w:val="nil"/>
            </w:tcBorders>
            <w:vAlign w:val="center"/>
            <w:hideMark/>
          </w:tcPr>
          <w:p w14:paraId="46EC4186"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CD62L</w:t>
            </w:r>
          </w:p>
        </w:tc>
        <w:tc>
          <w:tcPr>
            <w:tcW w:w="1860" w:type="dxa"/>
            <w:tcBorders>
              <w:top w:val="nil"/>
              <w:left w:val="nil"/>
              <w:bottom w:val="nil"/>
              <w:right w:val="nil"/>
            </w:tcBorders>
            <w:vAlign w:val="center"/>
            <w:hideMark/>
          </w:tcPr>
          <w:p w14:paraId="709A928F"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ECD</w:t>
            </w:r>
          </w:p>
        </w:tc>
        <w:tc>
          <w:tcPr>
            <w:tcW w:w="1860" w:type="dxa"/>
            <w:tcBorders>
              <w:top w:val="nil"/>
              <w:left w:val="nil"/>
              <w:bottom w:val="nil"/>
              <w:right w:val="nil"/>
            </w:tcBorders>
            <w:vAlign w:val="center"/>
            <w:hideMark/>
          </w:tcPr>
          <w:p w14:paraId="74F572D4"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DREG-56</w:t>
            </w:r>
          </w:p>
        </w:tc>
        <w:tc>
          <w:tcPr>
            <w:tcW w:w="1860" w:type="dxa"/>
            <w:tcBorders>
              <w:top w:val="nil"/>
              <w:left w:val="nil"/>
              <w:bottom w:val="nil"/>
              <w:right w:val="single" w:sz="8" w:space="0" w:color="auto"/>
            </w:tcBorders>
            <w:vAlign w:val="center"/>
            <w:hideMark/>
          </w:tcPr>
          <w:p w14:paraId="07432B07"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Beckman Coulter</w:t>
            </w:r>
          </w:p>
        </w:tc>
      </w:tr>
      <w:tr w:rsidR="009C5502" w:rsidRPr="007F001D" w14:paraId="51AC419C" w14:textId="77777777" w:rsidTr="00107E7E">
        <w:trPr>
          <w:trHeight w:val="300"/>
          <w:jc w:val="center"/>
        </w:trPr>
        <w:tc>
          <w:tcPr>
            <w:tcW w:w="1860" w:type="dxa"/>
            <w:vMerge/>
            <w:tcBorders>
              <w:top w:val="single" w:sz="4" w:space="0" w:color="auto"/>
              <w:left w:val="single" w:sz="8" w:space="0" w:color="auto"/>
              <w:bottom w:val="nil"/>
              <w:right w:val="nil"/>
            </w:tcBorders>
            <w:vAlign w:val="center"/>
            <w:hideMark/>
          </w:tcPr>
          <w:p w14:paraId="56D4ADD6"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nil"/>
              <w:right w:val="nil"/>
            </w:tcBorders>
            <w:vAlign w:val="center"/>
            <w:hideMark/>
          </w:tcPr>
          <w:p w14:paraId="381DC63B"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CD10</w:t>
            </w:r>
          </w:p>
        </w:tc>
        <w:tc>
          <w:tcPr>
            <w:tcW w:w="1860" w:type="dxa"/>
            <w:tcBorders>
              <w:top w:val="nil"/>
              <w:left w:val="nil"/>
              <w:bottom w:val="nil"/>
              <w:right w:val="nil"/>
            </w:tcBorders>
            <w:vAlign w:val="center"/>
            <w:hideMark/>
          </w:tcPr>
          <w:p w14:paraId="694A96F4"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PC5</w:t>
            </w:r>
          </w:p>
        </w:tc>
        <w:tc>
          <w:tcPr>
            <w:tcW w:w="1860" w:type="dxa"/>
            <w:tcBorders>
              <w:top w:val="nil"/>
              <w:left w:val="nil"/>
              <w:bottom w:val="nil"/>
              <w:right w:val="nil"/>
            </w:tcBorders>
            <w:vAlign w:val="center"/>
            <w:hideMark/>
          </w:tcPr>
          <w:p w14:paraId="6D8E0074"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ALB1</w:t>
            </w:r>
          </w:p>
        </w:tc>
        <w:tc>
          <w:tcPr>
            <w:tcW w:w="1860" w:type="dxa"/>
            <w:tcBorders>
              <w:top w:val="nil"/>
              <w:left w:val="nil"/>
              <w:bottom w:val="nil"/>
              <w:right w:val="single" w:sz="8" w:space="0" w:color="auto"/>
            </w:tcBorders>
            <w:vAlign w:val="center"/>
            <w:hideMark/>
          </w:tcPr>
          <w:p w14:paraId="7BB45EF8"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Beckman Coulter</w:t>
            </w:r>
          </w:p>
        </w:tc>
      </w:tr>
      <w:tr w:rsidR="009C5502" w:rsidRPr="007F001D" w14:paraId="7AE3C44C" w14:textId="77777777" w:rsidTr="00107E7E">
        <w:trPr>
          <w:trHeight w:val="300"/>
          <w:jc w:val="center"/>
        </w:trPr>
        <w:tc>
          <w:tcPr>
            <w:tcW w:w="1860" w:type="dxa"/>
            <w:vMerge/>
            <w:tcBorders>
              <w:top w:val="single" w:sz="4" w:space="0" w:color="auto"/>
              <w:left w:val="single" w:sz="8" w:space="0" w:color="auto"/>
              <w:bottom w:val="nil"/>
              <w:right w:val="nil"/>
            </w:tcBorders>
            <w:vAlign w:val="center"/>
            <w:hideMark/>
          </w:tcPr>
          <w:p w14:paraId="585DDEB4"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nil"/>
              <w:right w:val="nil"/>
            </w:tcBorders>
            <w:vAlign w:val="center"/>
            <w:hideMark/>
          </w:tcPr>
          <w:p w14:paraId="243581D9"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CD64</w:t>
            </w:r>
          </w:p>
        </w:tc>
        <w:tc>
          <w:tcPr>
            <w:tcW w:w="1860" w:type="dxa"/>
            <w:tcBorders>
              <w:top w:val="nil"/>
              <w:left w:val="nil"/>
              <w:bottom w:val="nil"/>
              <w:right w:val="nil"/>
            </w:tcBorders>
            <w:vAlign w:val="center"/>
            <w:hideMark/>
          </w:tcPr>
          <w:p w14:paraId="33C32F3C"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PC7</w:t>
            </w:r>
          </w:p>
        </w:tc>
        <w:tc>
          <w:tcPr>
            <w:tcW w:w="1860" w:type="dxa"/>
            <w:tcBorders>
              <w:top w:val="nil"/>
              <w:left w:val="nil"/>
              <w:bottom w:val="nil"/>
              <w:right w:val="nil"/>
            </w:tcBorders>
            <w:vAlign w:val="center"/>
            <w:hideMark/>
          </w:tcPr>
          <w:p w14:paraId="61F7DC9F"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22</w:t>
            </w:r>
          </w:p>
        </w:tc>
        <w:tc>
          <w:tcPr>
            <w:tcW w:w="1860" w:type="dxa"/>
            <w:tcBorders>
              <w:top w:val="nil"/>
              <w:left w:val="nil"/>
              <w:bottom w:val="nil"/>
              <w:right w:val="single" w:sz="8" w:space="0" w:color="auto"/>
            </w:tcBorders>
            <w:vAlign w:val="center"/>
            <w:hideMark/>
          </w:tcPr>
          <w:p w14:paraId="7CD7B911"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Beckman Coulter</w:t>
            </w:r>
          </w:p>
        </w:tc>
      </w:tr>
      <w:tr w:rsidR="009C5502" w:rsidRPr="007F001D" w14:paraId="30BB1194" w14:textId="77777777" w:rsidTr="00107E7E">
        <w:trPr>
          <w:trHeight w:val="300"/>
          <w:jc w:val="center"/>
        </w:trPr>
        <w:tc>
          <w:tcPr>
            <w:tcW w:w="1860" w:type="dxa"/>
            <w:vMerge w:val="restart"/>
            <w:tcBorders>
              <w:top w:val="single" w:sz="4" w:space="0" w:color="auto"/>
              <w:left w:val="single" w:sz="8" w:space="0" w:color="auto"/>
              <w:bottom w:val="single" w:sz="8" w:space="0" w:color="000000"/>
              <w:right w:val="nil"/>
            </w:tcBorders>
            <w:hideMark/>
          </w:tcPr>
          <w:p w14:paraId="0EEE9305" w14:textId="77777777" w:rsidR="009C5502" w:rsidRPr="007F001D" w:rsidRDefault="009C5502" w:rsidP="00107E7E">
            <w:pPr>
              <w:spacing w:after="0" w:line="240" w:lineRule="auto"/>
              <w:rPr>
                <w:rFonts w:eastAsia="Times New Roman" w:cstheme="minorHAnsi"/>
                <w:i/>
                <w:iCs/>
                <w:lang w:val="en-US"/>
              </w:rPr>
            </w:pPr>
            <w:r w:rsidRPr="007F001D">
              <w:rPr>
                <w:rFonts w:eastAsia="Times New Roman" w:cstheme="minorHAnsi"/>
                <w:i/>
                <w:iCs/>
                <w:lang w:val="en-US"/>
              </w:rPr>
              <w:t>Sort panel (BD ARIA III)</w:t>
            </w:r>
          </w:p>
        </w:tc>
        <w:tc>
          <w:tcPr>
            <w:tcW w:w="1860" w:type="dxa"/>
            <w:tcBorders>
              <w:top w:val="single" w:sz="4" w:space="0" w:color="auto"/>
              <w:left w:val="nil"/>
              <w:bottom w:val="nil"/>
              <w:right w:val="nil"/>
            </w:tcBorders>
            <w:noWrap/>
            <w:vAlign w:val="bottom"/>
            <w:hideMark/>
          </w:tcPr>
          <w:p w14:paraId="718AE095"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caps/>
                <w:lang w:val="en-US"/>
              </w:rPr>
              <w:t>CD15</w:t>
            </w:r>
          </w:p>
        </w:tc>
        <w:tc>
          <w:tcPr>
            <w:tcW w:w="1860" w:type="dxa"/>
            <w:tcBorders>
              <w:top w:val="single" w:sz="4" w:space="0" w:color="auto"/>
              <w:left w:val="nil"/>
              <w:bottom w:val="nil"/>
              <w:right w:val="nil"/>
            </w:tcBorders>
            <w:noWrap/>
            <w:vAlign w:val="bottom"/>
            <w:hideMark/>
          </w:tcPr>
          <w:p w14:paraId="77D6B60D"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Pacific Blue</w:t>
            </w:r>
          </w:p>
        </w:tc>
        <w:tc>
          <w:tcPr>
            <w:tcW w:w="1860" w:type="dxa"/>
            <w:tcBorders>
              <w:top w:val="single" w:sz="4" w:space="0" w:color="auto"/>
              <w:left w:val="nil"/>
              <w:bottom w:val="nil"/>
              <w:right w:val="nil"/>
            </w:tcBorders>
            <w:noWrap/>
            <w:vAlign w:val="bottom"/>
            <w:hideMark/>
          </w:tcPr>
          <w:p w14:paraId="03130FBB"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W6D3</w:t>
            </w:r>
          </w:p>
        </w:tc>
        <w:tc>
          <w:tcPr>
            <w:tcW w:w="1860" w:type="dxa"/>
            <w:tcBorders>
              <w:top w:val="single" w:sz="4" w:space="0" w:color="auto"/>
              <w:left w:val="nil"/>
              <w:bottom w:val="nil"/>
              <w:right w:val="single" w:sz="8" w:space="0" w:color="auto"/>
            </w:tcBorders>
            <w:noWrap/>
            <w:vAlign w:val="bottom"/>
            <w:hideMark/>
          </w:tcPr>
          <w:p w14:paraId="0D4F27EB" w14:textId="77777777" w:rsidR="009C5502" w:rsidRPr="007F001D" w:rsidRDefault="009C5502" w:rsidP="00107E7E">
            <w:pPr>
              <w:spacing w:after="0" w:line="240" w:lineRule="auto"/>
              <w:jc w:val="both"/>
              <w:rPr>
                <w:rFonts w:eastAsia="Times New Roman" w:cstheme="minorHAnsi"/>
                <w:lang w:val="en-US"/>
              </w:rPr>
            </w:pPr>
            <w:proofErr w:type="spellStart"/>
            <w:r w:rsidRPr="007F001D">
              <w:rPr>
                <w:rFonts w:eastAsia="Times New Roman" w:cstheme="minorHAnsi"/>
                <w:lang w:val="en-US"/>
              </w:rPr>
              <w:t>Biolegend</w:t>
            </w:r>
            <w:proofErr w:type="spellEnd"/>
          </w:p>
        </w:tc>
      </w:tr>
      <w:tr w:rsidR="009C5502" w:rsidRPr="007F001D" w14:paraId="0F83756B" w14:textId="77777777" w:rsidTr="00107E7E">
        <w:trPr>
          <w:trHeight w:val="300"/>
          <w:jc w:val="center"/>
        </w:trPr>
        <w:tc>
          <w:tcPr>
            <w:tcW w:w="1860" w:type="dxa"/>
            <w:vMerge/>
            <w:tcBorders>
              <w:top w:val="single" w:sz="4" w:space="0" w:color="auto"/>
              <w:left w:val="single" w:sz="8" w:space="0" w:color="auto"/>
              <w:bottom w:val="single" w:sz="8" w:space="0" w:color="000000"/>
              <w:right w:val="nil"/>
            </w:tcBorders>
            <w:vAlign w:val="center"/>
            <w:hideMark/>
          </w:tcPr>
          <w:p w14:paraId="139E35DF"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nil"/>
              <w:right w:val="nil"/>
            </w:tcBorders>
            <w:noWrap/>
            <w:vAlign w:val="bottom"/>
            <w:hideMark/>
          </w:tcPr>
          <w:p w14:paraId="378571CF"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caps/>
                <w:lang w:val="en-US"/>
              </w:rPr>
              <w:t>CD62L</w:t>
            </w:r>
          </w:p>
        </w:tc>
        <w:tc>
          <w:tcPr>
            <w:tcW w:w="1860" w:type="dxa"/>
            <w:tcBorders>
              <w:top w:val="nil"/>
              <w:left w:val="nil"/>
              <w:bottom w:val="nil"/>
              <w:right w:val="nil"/>
            </w:tcBorders>
            <w:noWrap/>
            <w:vAlign w:val="bottom"/>
            <w:hideMark/>
          </w:tcPr>
          <w:p w14:paraId="156BE077"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BV650</w:t>
            </w:r>
          </w:p>
        </w:tc>
        <w:tc>
          <w:tcPr>
            <w:tcW w:w="1860" w:type="dxa"/>
            <w:tcBorders>
              <w:top w:val="nil"/>
              <w:left w:val="nil"/>
              <w:bottom w:val="nil"/>
              <w:right w:val="nil"/>
            </w:tcBorders>
            <w:noWrap/>
            <w:vAlign w:val="bottom"/>
            <w:hideMark/>
          </w:tcPr>
          <w:p w14:paraId="668EF152"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DREG-56</w:t>
            </w:r>
          </w:p>
        </w:tc>
        <w:tc>
          <w:tcPr>
            <w:tcW w:w="1860" w:type="dxa"/>
            <w:tcBorders>
              <w:top w:val="nil"/>
              <w:left w:val="nil"/>
              <w:bottom w:val="nil"/>
              <w:right w:val="single" w:sz="8" w:space="0" w:color="auto"/>
            </w:tcBorders>
            <w:noWrap/>
            <w:vAlign w:val="bottom"/>
            <w:hideMark/>
          </w:tcPr>
          <w:p w14:paraId="14CCCA8E" w14:textId="77777777" w:rsidR="009C5502" w:rsidRPr="007F001D" w:rsidRDefault="009C5502" w:rsidP="00107E7E">
            <w:pPr>
              <w:spacing w:after="0" w:line="240" w:lineRule="auto"/>
              <w:jc w:val="both"/>
              <w:rPr>
                <w:rFonts w:eastAsia="Times New Roman" w:cstheme="minorHAnsi"/>
                <w:lang w:val="en-US"/>
              </w:rPr>
            </w:pPr>
            <w:proofErr w:type="spellStart"/>
            <w:r w:rsidRPr="007F001D">
              <w:rPr>
                <w:rFonts w:eastAsia="Times New Roman" w:cstheme="minorHAnsi"/>
                <w:lang w:val="en-US"/>
              </w:rPr>
              <w:t>Biolegend</w:t>
            </w:r>
            <w:proofErr w:type="spellEnd"/>
          </w:p>
        </w:tc>
      </w:tr>
      <w:tr w:rsidR="009C5502" w:rsidRPr="007F001D" w14:paraId="45EC1102" w14:textId="77777777" w:rsidTr="00107E7E">
        <w:trPr>
          <w:trHeight w:val="300"/>
          <w:jc w:val="center"/>
        </w:trPr>
        <w:tc>
          <w:tcPr>
            <w:tcW w:w="1860" w:type="dxa"/>
            <w:vMerge/>
            <w:tcBorders>
              <w:top w:val="single" w:sz="4" w:space="0" w:color="auto"/>
              <w:left w:val="single" w:sz="8" w:space="0" w:color="auto"/>
              <w:bottom w:val="single" w:sz="8" w:space="0" w:color="000000"/>
              <w:right w:val="nil"/>
            </w:tcBorders>
            <w:vAlign w:val="center"/>
            <w:hideMark/>
          </w:tcPr>
          <w:p w14:paraId="413C3674"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nil"/>
              <w:right w:val="nil"/>
            </w:tcBorders>
            <w:noWrap/>
            <w:vAlign w:val="bottom"/>
            <w:hideMark/>
          </w:tcPr>
          <w:p w14:paraId="3E01DCE7"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caps/>
                <w:lang w:val="en-US"/>
              </w:rPr>
              <w:t>CD16</w:t>
            </w:r>
          </w:p>
        </w:tc>
        <w:tc>
          <w:tcPr>
            <w:tcW w:w="1860" w:type="dxa"/>
            <w:tcBorders>
              <w:top w:val="nil"/>
              <w:left w:val="nil"/>
              <w:bottom w:val="nil"/>
              <w:right w:val="nil"/>
            </w:tcBorders>
            <w:noWrap/>
            <w:vAlign w:val="bottom"/>
            <w:hideMark/>
          </w:tcPr>
          <w:p w14:paraId="68845ECF"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BV785</w:t>
            </w:r>
          </w:p>
        </w:tc>
        <w:tc>
          <w:tcPr>
            <w:tcW w:w="1860" w:type="dxa"/>
            <w:tcBorders>
              <w:top w:val="nil"/>
              <w:left w:val="nil"/>
              <w:bottom w:val="nil"/>
              <w:right w:val="nil"/>
            </w:tcBorders>
            <w:noWrap/>
            <w:vAlign w:val="bottom"/>
            <w:hideMark/>
          </w:tcPr>
          <w:p w14:paraId="393623AF"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3G8</w:t>
            </w:r>
          </w:p>
        </w:tc>
        <w:tc>
          <w:tcPr>
            <w:tcW w:w="1860" w:type="dxa"/>
            <w:tcBorders>
              <w:top w:val="nil"/>
              <w:left w:val="nil"/>
              <w:bottom w:val="nil"/>
              <w:right w:val="single" w:sz="8" w:space="0" w:color="auto"/>
            </w:tcBorders>
            <w:noWrap/>
            <w:vAlign w:val="bottom"/>
            <w:hideMark/>
          </w:tcPr>
          <w:p w14:paraId="6D03CD68" w14:textId="77777777" w:rsidR="009C5502" w:rsidRPr="007F001D" w:rsidRDefault="009C5502" w:rsidP="00107E7E">
            <w:pPr>
              <w:spacing w:after="0" w:line="240" w:lineRule="auto"/>
              <w:jc w:val="both"/>
              <w:rPr>
                <w:rFonts w:eastAsia="Times New Roman" w:cstheme="minorHAnsi"/>
                <w:lang w:val="en-US"/>
              </w:rPr>
            </w:pPr>
            <w:proofErr w:type="spellStart"/>
            <w:r w:rsidRPr="007F001D">
              <w:rPr>
                <w:rFonts w:eastAsia="Times New Roman" w:cstheme="minorHAnsi"/>
                <w:lang w:val="en-US"/>
              </w:rPr>
              <w:t>Biolegend</w:t>
            </w:r>
            <w:proofErr w:type="spellEnd"/>
          </w:p>
        </w:tc>
      </w:tr>
      <w:tr w:rsidR="009C5502" w:rsidRPr="007F001D" w14:paraId="70F608D6" w14:textId="77777777" w:rsidTr="00107E7E">
        <w:trPr>
          <w:trHeight w:val="300"/>
          <w:jc w:val="center"/>
        </w:trPr>
        <w:tc>
          <w:tcPr>
            <w:tcW w:w="1860" w:type="dxa"/>
            <w:vMerge/>
            <w:tcBorders>
              <w:top w:val="single" w:sz="4" w:space="0" w:color="auto"/>
              <w:left w:val="single" w:sz="8" w:space="0" w:color="auto"/>
              <w:bottom w:val="single" w:sz="8" w:space="0" w:color="000000"/>
              <w:right w:val="nil"/>
            </w:tcBorders>
            <w:vAlign w:val="center"/>
            <w:hideMark/>
          </w:tcPr>
          <w:p w14:paraId="0C5547E1"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nil"/>
              <w:right w:val="nil"/>
            </w:tcBorders>
            <w:noWrap/>
            <w:vAlign w:val="bottom"/>
            <w:hideMark/>
          </w:tcPr>
          <w:p w14:paraId="3EB34786"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caps/>
                <w:lang w:val="en-US"/>
              </w:rPr>
              <w:t>CD66b</w:t>
            </w:r>
          </w:p>
        </w:tc>
        <w:tc>
          <w:tcPr>
            <w:tcW w:w="1860" w:type="dxa"/>
            <w:tcBorders>
              <w:top w:val="nil"/>
              <w:left w:val="nil"/>
              <w:bottom w:val="nil"/>
              <w:right w:val="nil"/>
            </w:tcBorders>
            <w:noWrap/>
            <w:vAlign w:val="bottom"/>
            <w:hideMark/>
          </w:tcPr>
          <w:p w14:paraId="7ECBAFC6"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PerCP-Cy5.5</w:t>
            </w:r>
          </w:p>
        </w:tc>
        <w:tc>
          <w:tcPr>
            <w:tcW w:w="1860" w:type="dxa"/>
            <w:tcBorders>
              <w:top w:val="nil"/>
              <w:left w:val="nil"/>
              <w:bottom w:val="nil"/>
              <w:right w:val="nil"/>
            </w:tcBorders>
            <w:noWrap/>
            <w:vAlign w:val="bottom"/>
            <w:hideMark/>
          </w:tcPr>
          <w:p w14:paraId="672345CC"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G10F5</w:t>
            </w:r>
          </w:p>
        </w:tc>
        <w:tc>
          <w:tcPr>
            <w:tcW w:w="1860" w:type="dxa"/>
            <w:tcBorders>
              <w:top w:val="nil"/>
              <w:left w:val="nil"/>
              <w:bottom w:val="nil"/>
              <w:right w:val="single" w:sz="8" w:space="0" w:color="auto"/>
            </w:tcBorders>
            <w:noWrap/>
            <w:vAlign w:val="bottom"/>
            <w:hideMark/>
          </w:tcPr>
          <w:p w14:paraId="4F39A183" w14:textId="77777777" w:rsidR="009C5502" w:rsidRPr="007F001D" w:rsidRDefault="009C5502" w:rsidP="00107E7E">
            <w:pPr>
              <w:spacing w:after="0" w:line="240" w:lineRule="auto"/>
              <w:jc w:val="both"/>
              <w:rPr>
                <w:rFonts w:eastAsia="Times New Roman" w:cstheme="minorHAnsi"/>
                <w:lang w:val="en-US"/>
              </w:rPr>
            </w:pPr>
            <w:proofErr w:type="spellStart"/>
            <w:r w:rsidRPr="007F001D">
              <w:rPr>
                <w:rFonts w:eastAsia="Times New Roman" w:cstheme="minorHAnsi"/>
                <w:lang w:val="en-US"/>
              </w:rPr>
              <w:t>Biolegend</w:t>
            </w:r>
            <w:proofErr w:type="spellEnd"/>
          </w:p>
        </w:tc>
      </w:tr>
      <w:tr w:rsidR="009C5502" w:rsidRPr="007F001D" w14:paraId="183BC422" w14:textId="77777777" w:rsidTr="00107E7E">
        <w:trPr>
          <w:trHeight w:val="300"/>
          <w:jc w:val="center"/>
        </w:trPr>
        <w:tc>
          <w:tcPr>
            <w:tcW w:w="1860" w:type="dxa"/>
            <w:vMerge/>
            <w:tcBorders>
              <w:top w:val="single" w:sz="4" w:space="0" w:color="auto"/>
              <w:left w:val="single" w:sz="8" w:space="0" w:color="auto"/>
              <w:bottom w:val="single" w:sz="8" w:space="0" w:color="000000"/>
              <w:right w:val="nil"/>
            </w:tcBorders>
            <w:vAlign w:val="center"/>
            <w:hideMark/>
          </w:tcPr>
          <w:p w14:paraId="29BDE950"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nil"/>
              <w:right w:val="nil"/>
            </w:tcBorders>
            <w:noWrap/>
            <w:vAlign w:val="bottom"/>
            <w:hideMark/>
          </w:tcPr>
          <w:p w14:paraId="75AC675E"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caps/>
                <w:lang w:val="en-US"/>
              </w:rPr>
              <w:t>CD193</w:t>
            </w:r>
          </w:p>
        </w:tc>
        <w:tc>
          <w:tcPr>
            <w:tcW w:w="1860" w:type="dxa"/>
            <w:tcBorders>
              <w:top w:val="nil"/>
              <w:left w:val="nil"/>
              <w:bottom w:val="nil"/>
              <w:right w:val="nil"/>
            </w:tcBorders>
            <w:noWrap/>
            <w:vAlign w:val="bottom"/>
            <w:hideMark/>
          </w:tcPr>
          <w:p w14:paraId="72068206"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PE</w:t>
            </w:r>
          </w:p>
        </w:tc>
        <w:tc>
          <w:tcPr>
            <w:tcW w:w="1860" w:type="dxa"/>
            <w:tcBorders>
              <w:top w:val="nil"/>
              <w:left w:val="nil"/>
              <w:bottom w:val="nil"/>
              <w:right w:val="nil"/>
            </w:tcBorders>
            <w:noWrap/>
            <w:vAlign w:val="bottom"/>
            <w:hideMark/>
          </w:tcPr>
          <w:p w14:paraId="7EB70A33"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5E8</w:t>
            </w:r>
          </w:p>
        </w:tc>
        <w:tc>
          <w:tcPr>
            <w:tcW w:w="1860" w:type="dxa"/>
            <w:tcBorders>
              <w:top w:val="nil"/>
              <w:left w:val="nil"/>
              <w:bottom w:val="nil"/>
              <w:right w:val="single" w:sz="8" w:space="0" w:color="auto"/>
            </w:tcBorders>
            <w:noWrap/>
            <w:vAlign w:val="bottom"/>
            <w:hideMark/>
          </w:tcPr>
          <w:p w14:paraId="4F0F47A1" w14:textId="77777777" w:rsidR="009C5502" w:rsidRPr="007F001D" w:rsidRDefault="009C5502" w:rsidP="00107E7E">
            <w:pPr>
              <w:spacing w:after="0" w:line="240" w:lineRule="auto"/>
              <w:jc w:val="both"/>
              <w:rPr>
                <w:rFonts w:eastAsia="Times New Roman" w:cstheme="minorHAnsi"/>
                <w:lang w:val="en-US"/>
              </w:rPr>
            </w:pPr>
            <w:proofErr w:type="spellStart"/>
            <w:r w:rsidRPr="007F001D">
              <w:rPr>
                <w:rFonts w:eastAsia="Times New Roman" w:cstheme="minorHAnsi"/>
                <w:lang w:val="en-US"/>
              </w:rPr>
              <w:t>Biolegend</w:t>
            </w:r>
            <w:proofErr w:type="spellEnd"/>
          </w:p>
        </w:tc>
      </w:tr>
      <w:tr w:rsidR="009C5502" w:rsidRPr="007F001D" w14:paraId="5D558AFA" w14:textId="77777777" w:rsidTr="00107E7E">
        <w:trPr>
          <w:trHeight w:val="300"/>
          <w:jc w:val="center"/>
        </w:trPr>
        <w:tc>
          <w:tcPr>
            <w:tcW w:w="1860" w:type="dxa"/>
            <w:vMerge/>
            <w:tcBorders>
              <w:top w:val="single" w:sz="4" w:space="0" w:color="auto"/>
              <w:left w:val="single" w:sz="8" w:space="0" w:color="auto"/>
              <w:bottom w:val="single" w:sz="8" w:space="0" w:color="000000"/>
              <w:right w:val="nil"/>
            </w:tcBorders>
            <w:vAlign w:val="center"/>
            <w:hideMark/>
          </w:tcPr>
          <w:p w14:paraId="47DFFB42"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nil"/>
              <w:right w:val="nil"/>
            </w:tcBorders>
            <w:noWrap/>
            <w:vAlign w:val="bottom"/>
            <w:hideMark/>
          </w:tcPr>
          <w:p w14:paraId="76B6E193"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caps/>
                <w:lang w:val="en-US"/>
              </w:rPr>
              <w:t>CD56</w:t>
            </w:r>
          </w:p>
        </w:tc>
        <w:tc>
          <w:tcPr>
            <w:tcW w:w="1860" w:type="dxa"/>
            <w:tcBorders>
              <w:top w:val="nil"/>
              <w:left w:val="nil"/>
              <w:bottom w:val="nil"/>
              <w:right w:val="nil"/>
            </w:tcBorders>
            <w:noWrap/>
            <w:vAlign w:val="bottom"/>
            <w:hideMark/>
          </w:tcPr>
          <w:p w14:paraId="60F8B2FF"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PE</w:t>
            </w:r>
          </w:p>
        </w:tc>
        <w:tc>
          <w:tcPr>
            <w:tcW w:w="1860" w:type="dxa"/>
            <w:tcBorders>
              <w:top w:val="nil"/>
              <w:left w:val="nil"/>
              <w:bottom w:val="nil"/>
              <w:right w:val="nil"/>
            </w:tcBorders>
            <w:noWrap/>
            <w:vAlign w:val="bottom"/>
            <w:hideMark/>
          </w:tcPr>
          <w:p w14:paraId="3FF7BE5F"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CMSSB</w:t>
            </w:r>
          </w:p>
        </w:tc>
        <w:tc>
          <w:tcPr>
            <w:tcW w:w="1860" w:type="dxa"/>
            <w:tcBorders>
              <w:top w:val="nil"/>
              <w:left w:val="nil"/>
              <w:bottom w:val="nil"/>
              <w:right w:val="single" w:sz="8" w:space="0" w:color="auto"/>
            </w:tcBorders>
            <w:noWrap/>
            <w:vAlign w:val="bottom"/>
            <w:hideMark/>
          </w:tcPr>
          <w:p w14:paraId="1E4F2545" w14:textId="77777777" w:rsidR="009C5502" w:rsidRPr="007F001D" w:rsidRDefault="009C5502" w:rsidP="00107E7E">
            <w:pPr>
              <w:spacing w:after="0" w:line="240" w:lineRule="auto"/>
              <w:jc w:val="both"/>
              <w:rPr>
                <w:rFonts w:eastAsia="Times New Roman" w:cstheme="minorHAnsi"/>
                <w:lang w:val="en-US"/>
              </w:rPr>
            </w:pPr>
            <w:proofErr w:type="spellStart"/>
            <w:r w:rsidRPr="007F001D">
              <w:rPr>
                <w:rFonts w:eastAsia="Times New Roman" w:cstheme="minorHAnsi"/>
                <w:lang w:val="en-US"/>
              </w:rPr>
              <w:t>eBioscience</w:t>
            </w:r>
            <w:proofErr w:type="spellEnd"/>
          </w:p>
        </w:tc>
      </w:tr>
      <w:tr w:rsidR="009C5502" w:rsidRPr="007F001D" w14:paraId="3B798882" w14:textId="77777777" w:rsidTr="00107E7E">
        <w:trPr>
          <w:trHeight w:val="300"/>
          <w:jc w:val="center"/>
        </w:trPr>
        <w:tc>
          <w:tcPr>
            <w:tcW w:w="1860" w:type="dxa"/>
            <w:vMerge/>
            <w:tcBorders>
              <w:top w:val="single" w:sz="4" w:space="0" w:color="auto"/>
              <w:left w:val="single" w:sz="8" w:space="0" w:color="auto"/>
              <w:bottom w:val="single" w:sz="8" w:space="0" w:color="000000"/>
              <w:right w:val="nil"/>
            </w:tcBorders>
            <w:vAlign w:val="center"/>
            <w:hideMark/>
          </w:tcPr>
          <w:p w14:paraId="35C17A87"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nil"/>
              <w:right w:val="nil"/>
            </w:tcBorders>
            <w:noWrap/>
            <w:vAlign w:val="bottom"/>
            <w:hideMark/>
          </w:tcPr>
          <w:p w14:paraId="5A86617C"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caps/>
                <w:lang w:val="en-US"/>
              </w:rPr>
              <w:t>HLA-DR</w:t>
            </w:r>
          </w:p>
        </w:tc>
        <w:tc>
          <w:tcPr>
            <w:tcW w:w="1860" w:type="dxa"/>
            <w:tcBorders>
              <w:top w:val="nil"/>
              <w:left w:val="nil"/>
              <w:bottom w:val="nil"/>
              <w:right w:val="nil"/>
            </w:tcBorders>
            <w:noWrap/>
            <w:vAlign w:val="bottom"/>
            <w:hideMark/>
          </w:tcPr>
          <w:p w14:paraId="7056C715"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PE</w:t>
            </w:r>
          </w:p>
        </w:tc>
        <w:tc>
          <w:tcPr>
            <w:tcW w:w="1860" w:type="dxa"/>
            <w:tcBorders>
              <w:top w:val="nil"/>
              <w:left w:val="nil"/>
              <w:bottom w:val="nil"/>
              <w:right w:val="nil"/>
            </w:tcBorders>
            <w:noWrap/>
            <w:vAlign w:val="bottom"/>
            <w:hideMark/>
          </w:tcPr>
          <w:p w14:paraId="4C206631"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L243</w:t>
            </w:r>
          </w:p>
        </w:tc>
        <w:tc>
          <w:tcPr>
            <w:tcW w:w="1860" w:type="dxa"/>
            <w:tcBorders>
              <w:top w:val="nil"/>
              <w:left w:val="nil"/>
              <w:bottom w:val="nil"/>
              <w:right w:val="single" w:sz="8" w:space="0" w:color="auto"/>
            </w:tcBorders>
            <w:noWrap/>
            <w:vAlign w:val="bottom"/>
            <w:hideMark/>
          </w:tcPr>
          <w:p w14:paraId="11FD3F7E"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Becton Dickinson</w:t>
            </w:r>
          </w:p>
        </w:tc>
      </w:tr>
      <w:tr w:rsidR="009C5502" w:rsidRPr="007F001D" w14:paraId="7A3AA802" w14:textId="77777777" w:rsidTr="00107E7E">
        <w:trPr>
          <w:trHeight w:val="300"/>
          <w:jc w:val="center"/>
        </w:trPr>
        <w:tc>
          <w:tcPr>
            <w:tcW w:w="1860" w:type="dxa"/>
            <w:vMerge/>
            <w:tcBorders>
              <w:top w:val="single" w:sz="4" w:space="0" w:color="auto"/>
              <w:left w:val="single" w:sz="8" w:space="0" w:color="auto"/>
              <w:bottom w:val="single" w:sz="8" w:space="0" w:color="000000"/>
              <w:right w:val="nil"/>
            </w:tcBorders>
            <w:vAlign w:val="center"/>
            <w:hideMark/>
          </w:tcPr>
          <w:p w14:paraId="4076C4DC"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nil"/>
              <w:right w:val="nil"/>
            </w:tcBorders>
            <w:noWrap/>
            <w:vAlign w:val="bottom"/>
            <w:hideMark/>
          </w:tcPr>
          <w:p w14:paraId="276AF966"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caps/>
                <w:lang w:val="en-US"/>
              </w:rPr>
              <w:t>CD45</w:t>
            </w:r>
          </w:p>
        </w:tc>
        <w:tc>
          <w:tcPr>
            <w:tcW w:w="1860" w:type="dxa"/>
            <w:tcBorders>
              <w:top w:val="nil"/>
              <w:left w:val="nil"/>
              <w:bottom w:val="nil"/>
              <w:right w:val="nil"/>
            </w:tcBorders>
            <w:noWrap/>
            <w:vAlign w:val="bottom"/>
            <w:hideMark/>
          </w:tcPr>
          <w:p w14:paraId="4DEE90DA"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PE-Cy7</w:t>
            </w:r>
          </w:p>
        </w:tc>
        <w:tc>
          <w:tcPr>
            <w:tcW w:w="1860" w:type="dxa"/>
            <w:tcBorders>
              <w:top w:val="nil"/>
              <w:left w:val="nil"/>
              <w:bottom w:val="nil"/>
              <w:right w:val="nil"/>
            </w:tcBorders>
            <w:noWrap/>
            <w:vAlign w:val="bottom"/>
            <w:hideMark/>
          </w:tcPr>
          <w:p w14:paraId="5437CA05"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HI30</w:t>
            </w:r>
          </w:p>
        </w:tc>
        <w:tc>
          <w:tcPr>
            <w:tcW w:w="1860" w:type="dxa"/>
            <w:tcBorders>
              <w:top w:val="nil"/>
              <w:left w:val="nil"/>
              <w:bottom w:val="nil"/>
              <w:right w:val="single" w:sz="8" w:space="0" w:color="auto"/>
            </w:tcBorders>
            <w:noWrap/>
            <w:vAlign w:val="bottom"/>
            <w:hideMark/>
          </w:tcPr>
          <w:p w14:paraId="7B4DFEF3"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Becton Dickinson</w:t>
            </w:r>
          </w:p>
        </w:tc>
      </w:tr>
      <w:tr w:rsidR="009C5502" w:rsidRPr="007F001D" w14:paraId="421DBFFC" w14:textId="77777777" w:rsidTr="00107E7E">
        <w:trPr>
          <w:trHeight w:val="315"/>
          <w:jc w:val="center"/>
        </w:trPr>
        <w:tc>
          <w:tcPr>
            <w:tcW w:w="1860" w:type="dxa"/>
            <w:vMerge/>
            <w:tcBorders>
              <w:top w:val="single" w:sz="4" w:space="0" w:color="auto"/>
              <w:left w:val="single" w:sz="8" w:space="0" w:color="auto"/>
              <w:bottom w:val="single" w:sz="8" w:space="0" w:color="000000"/>
              <w:right w:val="nil"/>
            </w:tcBorders>
            <w:vAlign w:val="center"/>
            <w:hideMark/>
          </w:tcPr>
          <w:p w14:paraId="374C5F1F" w14:textId="77777777" w:rsidR="009C5502" w:rsidRPr="007F001D" w:rsidRDefault="009C5502" w:rsidP="00107E7E">
            <w:pPr>
              <w:spacing w:after="0" w:line="240" w:lineRule="auto"/>
              <w:jc w:val="both"/>
              <w:rPr>
                <w:rFonts w:eastAsia="Times New Roman" w:cstheme="minorHAnsi"/>
                <w:i/>
                <w:iCs/>
                <w:lang w:val="en-US"/>
              </w:rPr>
            </w:pPr>
          </w:p>
        </w:tc>
        <w:tc>
          <w:tcPr>
            <w:tcW w:w="1860" w:type="dxa"/>
            <w:tcBorders>
              <w:top w:val="nil"/>
              <w:left w:val="nil"/>
              <w:bottom w:val="single" w:sz="8" w:space="0" w:color="auto"/>
              <w:right w:val="nil"/>
            </w:tcBorders>
            <w:noWrap/>
            <w:vAlign w:val="bottom"/>
            <w:hideMark/>
          </w:tcPr>
          <w:p w14:paraId="07E9EEA0"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caps/>
                <w:lang w:val="en-US"/>
              </w:rPr>
              <w:t>CD11b</w:t>
            </w:r>
          </w:p>
        </w:tc>
        <w:tc>
          <w:tcPr>
            <w:tcW w:w="1860" w:type="dxa"/>
            <w:tcBorders>
              <w:top w:val="nil"/>
              <w:left w:val="nil"/>
              <w:bottom w:val="single" w:sz="8" w:space="0" w:color="auto"/>
              <w:right w:val="nil"/>
            </w:tcBorders>
            <w:noWrap/>
            <w:vAlign w:val="bottom"/>
            <w:hideMark/>
          </w:tcPr>
          <w:p w14:paraId="347412BE"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APC-AF750</w:t>
            </w:r>
          </w:p>
        </w:tc>
        <w:tc>
          <w:tcPr>
            <w:tcW w:w="1860" w:type="dxa"/>
            <w:tcBorders>
              <w:top w:val="nil"/>
              <w:left w:val="nil"/>
              <w:bottom w:val="single" w:sz="8" w:space="0" w:color="auto"/>
              <w:right w:val="nil"/>
            </w:tcBorders>
            <w:noWrap/>
            <w:vAlign w:val="bottom"/>
            <w:hideMark/>
          </w:tcPr>
          <w:p w14:paraId="63FFD9B7"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Bear1</w:t>
            </w:r>
          </w:p>
        </w:tc>
        <w:tc>
          <w:tcPr>
            <w:tcW w:w="1860" w:type="dxa"/>
            <w:tcBorders>
              <w:top w:val="nil"/>
              <w:left w:val="nil"/>
              <w:bottom w:val="single" w:sz="8" w:space="0" w:color="auto"/>
              <w:right w:val="single" w:sz="8" w:space="0" w:color="auto"/>
            </w:tcBorders>
            <w:noWrap/>
            <w:vAlign w:val="bottom"/>
            <w:hideMark/>
          </w:tcPr>
          <w:p w14:paraId="69502163" w14:textId="77777777" w:rsidR="009C5502" w:rsidRPr="007F001D" w:rsidRDefault="009C5502" w:rsidP="00107E7E">
            <w:pPr>
              <w:spacing w:after="0" w:line="240" w:lineRule="auto"/>
              <w:jc w:val="both"/>
              <w:rPr>
                <w:rFonts w:eastAsia="Times New Roman" w:cstheme="minorHAnsi"/>
                <w:lang w:val="en-US"/>
              </w:rPr>
            </w:pPr>
            <w:r w:rsidRPr="007F001D">
              <w:rPr>
                <w:rFonts w:eastAsia="Times New Roman" w:cstheme="minorHAnsi"/>
                <w:lang w:val="en-US"/>
              </w:rPr>
              <w:t>Beckman Coulter</w:t>
            </w:r>
          </w:p>
        </w:tc>
      </w:tr>
    </w:tbl>
    <w:p w14:paraId="0A5B0B67" w14:textId="77777777" w:rsidR="009C5502" w:rsidRPr="007F001D" w:rsidRDefault="009C5502" w:rsidP="009C5502">
      <w:pPr>
        <w:jc w:val="both"/>
        <w:rPr>
          <w:lang w:val="en-US"/>
        </w:rPr>
      </w:pPr>
    </w:p>
    <w:p w14:paraId="61D134A0" w14:textId="77777777" w:rsidR="009C5502" w:rsidRPr="007F001D" w:rsidRDefault="009C5502" w:rsidP="009C5502">
      <w:pPr>
        <w:jc w:val="both"/>
        <w:rPr>
          <w:lang w:val="en-US"/>
        </w:rPr>
      </w:pPr>
    </w:p>
    <w:p w14:paraId="31DCBF88" w14:textId="77777777" w:rsidR="009C5502" w:rsidRPr="007F001D" w:rsidRDefault="009C5502" w:rsidP="009C5502">
      <w:pPr>
        <w:jc w:val="both"/>
        <w:rPr>
          <w:lang w:val="en-US"/>
        </w:rPr>
      </w:pPr>
    </w:p>
    <w:p w14:paraId="7CACA356" w14:textId="77777777" w:rsidR="009C5502" w:rsidRPr="007F001D" w:rsidRDefault="009C5502" w:rsidP="009C5502">
      <w:pPr>
        <w:jc w:val="both"/>
        <w:rPr>
          <w:lang w:val="en-US"/>
        </w:rPr>
      </w:pPr>
    </w:p>
    <w:p w14:paraId="06031FC5" w14:textId="77777777" w:rsidR="009C5502" w:rsidRPr="007F001D" w:rsidRDefault="009C5502" w:rsidP="009C5502">
      <w:pPr>
        <w:jc w:val="both"/>
        <w:rPr>
          <w:lang w:val="en-US"/>
        </w:rPr>
      </w:pPr>
    </w:p>
    <w:p w14:paraId="40E6700E" w14:textId="77777777" w:rsidR="009C5502" w:rsidRPr="007F001D" w:rsidRDefault="009C5502" w:rsidP="009C5502">
      <w:pPr>
        <w:jc w:val="both"/>
        <w:rPr>
          <w:lang w:val="en-US"/>
        </w:rPr>
      </w:pPr>
    </w:p>
    <w:p w14:paraId="6365985C" w14:textId="77777777" w:rsidR="009C5502" w:rsidRPr="007F001D" w:rsidRDefault="009C5502" w:rsidP="009C5502">
      <w:pPr>
        <w:pStyle w:val="NoSpacing"/>
        <w:jc w:val="both"/>
        <w:rPr>
          <w:lang w:val="en-US"/>
        </w:rPr>
      </w:pPr>
    </w:p>
    <w:p w14:paraId="4B92E201" w14:textId="77777777" w:rsidR="009C5502" w:rsidRPr="007F001D" w:rsidRDefault="009C5502" w:rsidP="009C5502">
      <w:pPr>
        <w:pStyle w:val="NoSpacing"/>
        <w:jc w:val="both"/>
        <w:rPr>
          <w:lang w:val="en-US"/>
        </w:rPr>
      </w:pPr>
    </w:p>
    <w:p w14:paraId="5CF51F5F" w14:textId="77777777" w:rsidR="009C5502" w:rsidRPr="007F001D" w:rsidRDefault="009C5502" w:rsidP="009C5502">
      <w:pPr>
        <w:pStyle w:val="NoSpacing"/>
        <w:jc w:val="center"/>
        <w:rPr>
          <w:lang w:val="en-US"/>
        </w:rPr>
      </w:pPr>
      <w:r>
        <w:rPr>
          <w:noProof/>
          <w:lang w:val="en-US"/>
        </w:rPr>
        <w:lastRenderedPageBreak/>
        <w:drawing>
          <wp:inline distT="0" distB="0" distL="0" distR="0" wp14:anchorId="43E7C8AC" wp14:editId="2E0A44BA">
            <wp:extent cx="5518150" cy="4913630"/>
            <wp:effectExtent l="0" t="0" r="635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18150" cy="4913630"/>
                    </a:xfrm>
                    <a:prstGeom prst="rect">
                      <a:avLst/>
                    </a:prstGeom>
                    <a:noFill/>
                    <a:ln>
                      <a:noFill/>
                    </a:ln>
                  </pic:spPr>
                </pic:pic>
              </a:graphicData>
            </a:graphic>
          </wp:inline>
        </w:drawing>
      </w:r>
    </w:p>
    <w:p w14:paraId="42C165A4" w14:textId="77777777" w:rsidR="009C5502" w:rsidRPr="007F001D" w:rsidRDefault="009C5502" w:rsidP="009C5502">
      <w:pPr>
        <w:pStyle w:val="NoSpacing"/>
        <w:jc w:val="center"/>
        <w:rPr>
          <w:lang w:val="en-US"/>
        </w:rPr>
      </w:pPr>
    </w:p>
    <w:p w14:paraId="10650E29" w14:textId="77777777" w:rsidR="009C5502" w:rsidRPr="003807A8" w:rsidRDefault="009C5502" w:rsidP="009C5502">
      <w:pPr>
        <w:jc w:val="both"/>
        <w:rPr>
          <w:i/>
          <w:iCs/>
          <w:sz w:val="20"/>
          <w:szCs w:val="20"/>
          <w:lang w:val="en-US"/>
        </w:rPr>
      </w:pPr>
      <w:r w:rsidRPr="003807A8">
        <w:rPr>
          <w:b/>
          <w:bCs/>
          <w:i/>
          <w:iCs/>
          <w:sz w:val="20"/>
          <w:szCs w:val="20"/>
          <w:lang w:val="en-US"/>
        </w:rPr>
        <w:t>Suppl. Figure 4</w:t>
      </w:r>
      <w:r>
        <w:rPr>
          <w:b/>
          <w:bCs/>
          <w:i/>
          <w:iCs/>
          <w:sz w:val="20"/>
          <w:szCs w:val="20"/>
          <w:lang w:val="en-US"/>
        </w:rPr>
        <w:t>.</w:t>
      </w:r>
      <w:r w:rsidRPr="003807A8">
        <w:rPr>
          <w:b/>
          <w:bCs/>
          <w:i/>
          <w:iCs/>
          <w:sz w:val="20"/>
          <w:szCs w:val="20"/>
          <w:lang w:val="en-US"/>
        </w:rPr>
        <w:t xml:space="preserve"> Comparison of quantitative phagocytosis data. Spot count and intensity of the GFP signal inside sorted and fix</w:t>
      </w:r>
      <w:r>
        <w:rPr>
          <w:b/>
          <w:bCs/>
          <w:i/>
          <w:iCs/>
          <w:sz w:val="20"/>
          <w:szCs w:val="20"/>
          <w:lang w:val="en-US"/>
        </w:rPr>
        <w:t>e</w:t>
      </w:r>
      <w:r w:rsidRPr="003807A8">
        <w:rPr>
          <w:b/>
          <w:bCs/>
          <w:i/>
          <w:iCs/>
          <w:sz w:val="20"/>
          <w:szCs w:val="20"/>
          <w:lang w:val="en-US"/>
        </w:rPr>
        <w:t>d GFP+ neutrophils subsets after 10 minutes incubation with live GFP expressing S. aureus.</w:t>
      </w:r>
      <w:r w:rsidRPr="003807A8">
        <w:rPr>
          <w:i/>
          <w:iCs/>
          <w:sz w:val="20"/>
          <w:szCs w:val="20"/>
          <w:lang w:val="en-US"/>
        </w:rPr>
        <w:t xml:space="preserve"> Data </w:t>
      </w:r>
      <w:r>
        <w:rPr>
          <w:i/>
          <w:iCs/>
          <w:sz w:val="20"/>
          <w:szCs w:val="20"/>
          <w:lang w:val="en-US"/>
        </w:rPr>
        <w:t>are</w:t>
      </w:r>
      <w:r w:rsidRPr="003807A8">
        <w:rPr>
          <w:i/>
          <w:iCs/>
          <w:sz w:val="20"/>
          <w:szCs w:val="20"/>
          <w:lang w:val="en-US"/>
        </w:rPr>
        <w:t xml:space="preserve"> collected using the </w:t>
      </w:r>
      <w:proofErr w:type="spellStart"/>
      <w:r w:rsidRPr="003807A8">
        <w:rPr>
          <w:i/>
          <w:iCs/>
          <w:sz w:val="20"/>
          <w:szCs w:val="20"/>
          <w:lang w:val="en-US"/>
        </w:rPr>
        <w:t>ImageStream®</w:t>
      </w:r>
      <w:r w:rsidRPr="003807A8">
        <w:rPr>
          <w:i/>
          <w:iCs/>
          <w:sz w:val="20"/>
          <w:szCs w:val="20"/>
          <w:vertAlign w:val="superscript"/>
          <w:lang w:val="en-US"/>
        </w:rPr>
        <w:t>X</w:t>
      </w:r>
      <w:proofErr w:type="spellEnd"/>
      <w:r w:rsidRPr="003807A8">
        <w:rPr>
          <w:i/>
          <w:iCs/>
          <w:sz w:val="20"/>
          <w:szCs w:val="20"/>
          <w:lang w:val="en-US"/>
        </w:rPr>
        <w:t xml:space="preserve"> Mark II Imaging Flow Cytometer and processed using IDEAS® analysis software </w:t>
      </w:r>
      <w:r>
        <w:rPr>
          <w:i/>
          <w:iCs/>
          <w:sz w:val="20"/>
          <w:szCs w:val="20"/>
          <w:lang w:val="en-US"/>
        </w:rPr>
        <w:t>v</w:t>
      </w:r>
      <w:r w:rsidRPr="003807A8">
        <w:rPr>
          <w:i/>
          <w:iCs/>
          <w:sz w:val="20"/>
          <w:szCs w:val="20"/>
          <w:lang w:val="en-US"/>
        </w:rPr>
        <w:t>6.0 (</w:t>
      </w:r>
      <w:proofErr w:type="spellStart"/>
      <w:r w:rsidRPr="003807A8">
        <w:rPr>
          <w:i/>
          <w:iCs/>
          <w:sz w:val="20"/>
          <w:szCs w:val="20"/>
          <w:lang w:val="en-US"/>
        </w:rPr>
        <w:t>Amnis</w:t>
      </w:r>
      <w:proofErr w:type="spellEnd"/>
      <w:r w:rsidRPr="003807A8">
        <w:rPr>
          <w:i/>
          <w:iCs/>
          <w:sz w:val="20"/>
          <w:szCs w:val="20"/>
          <w:lang w:val="en-US"/>
        </w:rPr>
        <w:t xml:space="preserve"> EMD </w:t>
      </w:r>
      <w:r w:rsidRPr="00141D5C">
        <w:rPr>
          <w:i/>
          <w:iCs/>
          <w:sz w:val="20"/>
          <w:szCs w:val="20"/>
          <w:lang w:val="en-US"/>
        </w:rPr>
        <w:t>Millipore</w:t>
      </w:r>
      <w:r w:rsidRPr="003807A8">
        <w:rPr>
          <w:i/>
          <w:iCs/>
          <w:sz w:val="20"/>
          <w:szCs w:val="20"/>
          <w:lang w:val="en-US"/>
        </w:rPr>
        <w:t>, WA, USA)</w:t>
      </w:r>
      <w:r>
        <w:rPr>
          <w:i/>
          <w:iCs/>
          <w:sz w:val="20"/>
          <w:szCs w:val="20"/>
          <w:lang w:val="en-US"/>
        </w:rPr>
        <w:t xml:space="preserve"> as described in </w:t>
      </w:r>
      <w:proofErr w:type="spellStart"/>
      <w:r>
        <w:rPr>
          <w:i/>
          <w:iCs/>
          <w:sz w:val="20"/>
          <w:szCs w:val="20"/>
          <w:lang w:val="en-US"/>
        </w:rPr>
        <w:t>Duebel</w:t>
      </w:r>
      <w:proofErr w:type="spellEnd"/>
      <w:r>
        <w:rPr>
          <w:i/>
          <w:iCs/>
          <w:sz w:val="20"/>
          <w:szCs w:val="20"/>
          <w:lang w:val="en-US"/>
        </w:rPr>
        <w:t xml:space="preserve"> et al</w:t>
      </w:r>
      <w:r w:rsidRPr="003807A8">
        <w:rPr>
          <w:i/>
          <w:iCs/>
          <w:sz w:val="20"/>
          <w:szCs w:val="20"/>
          <w:lang w:val="en-US"/>
        </w:rPr>
        <w:t>.</w:t>
      </w:r>
      <w:r>
        <w:rPr>
          <w:i/>
          <w:iCs/>
          <w:sz w:val="20"/>
          <w:szCs w:val="20"/>
          <w:lang w:val="en-US"/>
        </w:rPr>
        <w:t xml:space="preserve"> </w:t>
      </w:r>
      <w:r>
        <w:rPr>
          <w:i/>
          <w:iCs/>
          <w:sz w:val="20"/>
          <w:szCs w:val="20"/>
          <w:lang w:val="en-US"/>
        </w:rPr>
        <w:fldChar w:fldCharType="begin"/>
      </w:r>
      <w:r>
        <w:rPr>
          <w:i/>
          <w:iCs/>
          <w:sz w:val="20"/>
          <w:szCs w:val="20"/>
          <w:lang w:val="en-US"/>
        </w:rPr>
        <w:instrText xml:space="preserve"> ADDIN EN.CITE &lt;EndNote&gt;&lt;Cite&gt;&lt;Author&gt;Duebel&lt;/Author&gt;&lt;Year&gt;2026&lt;/Year&gt;&lt;RecNum&gt;684&lt;/RecNum&gt;&lt;DisplayText&gt;(14)&lt;/DisplayText&gt;&lt;record&gt;&lt;rec-number&gt;684&lt;/rec-number&gt;&lt;foreign-keys&gt;&lt;key app="EN" db-id="e5f99z2s6f9dw8eaaszx029lt2atv0f92v9a" timestamp="1773400971"&gt;684&lt;/key&gt;&lt;/foreign-keys&gt;&lt;ref-type name="Journal Article"&gt;17&lt;/ref-type&gt;&lt;contributors&gt;&lt;authors&gt;&lt;author&gt;Duebel, L. V.&lt;/author&gt;&lt;author&gt;Dekker, S. O.&lt;/author&gt;&lt;author&gt;Bongers, S. H.&lt;/author&gt;&lt;author&gt;van Aalst, C.&lt;/author&gt;&lt;author&gt;Mulder, E.&lt;/author&gt;&lt;author&gt;Hietbrink, F.&lt;/author&gt;&lt;author&gt;Koenderman, L.&lt;/author&gt;&lt;author&gt;Vrisekoop, N.&lt;/author&gt;&lt;/authors&gt;&lt;/contributors&gt;&lt;titles&gt;&lt;title&gt;Increased bacterial load per neutrophil reduces intracellular killing capacity&lt;/title&gt;&lt;secondary-title&gt;J Innate Immun&lt;/secondary-title&gt;&lt;/titles&gt;&lt;periodical&gt;&lt;full-title&gt;J Innate Immun&lt;/full-title&gt;&lt;/periodical&gt;&lt;pages&gt;1-22&lt;/pages&gt;&lt;edition&gt;20260312&lt;/edition&gt;&lt;dates&gt;&lt;year&gt;2026&lt;/year&gt;&lt;pub-dates&gt;&lt;date&gt;Mar 12&lt;/date&gt;&lt;/pub-dates&gt;&lt;/dates&gt;&lt;isbn&gt;1662-8128 (Electronic)&amp;#xD;1662-811X (Linking)&lt;/isbn&gt;&lt;accession-num&gt;41818396&lt;/accession-num&gt;&lt;urls&gt;&lt;related-urls&gt;&lt;url&gt;https://www.ncbi.nlm.nih.gov/pubmed/41818396&lt;/url&gt;&lt;/related-urls&gt;&lt;/urls&gt;&lt;electronic-resource-num&gt;10.1159/000551415&lt;/electronic-resource-num&gt;&lt;remote-database-name&gt;Publisher&lt;/remote-database-name&gt;&lt;remote-database-provider&gt;NLM&lt;/remote-database-provider&gt;&lt;/record&gt;&lt;/Cite&gt;&lt;/EndNote&gt;</w:instrText>
      </w:r>
      <w:r>
        <w:rPr>
          <w:i/>
          <w:iCs/>
          <w:sz w:val="20"/>
          <w:szCs w:val="20"/>
          <w:lang w:val="en-US"/>
        </w:rPr>
        <w:fldChar w:fldCharType="separate"/>
      </w:r>
      <w:r>
        <w:rPr>
          <w:i/>
          <w:iCs/>
          <w:noProof/>
          <w:sz w:val="20"/>
          <w:szCs w:val="20"/>
          <w:lang w:val="en-US"/>
        </w:rPr>
        <w:t>(14)</w:t>
      </w:r>
      <w:r>
        <w:rPr>
          <w:i/>
          <w:iCs/>
          <w:sz w:val="20"/>
          <w:szCs w:val="20"/>
          <w:lang w:val="en-US"/>
        </w:rPr>
        <w:fldChar w:fldCharType="end"/>
      </w:r>
      <w:r w:rsidRPr="003807A8">
        <w:rPr>
          <w:i/>
          <w:iCs/>
          <w:sz w:val="20"/>
          <w:szCs w:val="20"/>
          <w:lang w:val="en-US"/>
        </w:rPr>
        <w:t xml:space="preserve"> Data are shown as medians with IQR. Statistical significance was tested using a Kruskal-Wallis test with Dunn's test to compare the progenitor subset to the rest of the subsets. Statistical significance is represented as *: P &lt; 0,05; **: P &lt; 0,01; ***: P &lt; 0,001 (A). Linear regression of the spot count per cell (X-axis) and the corresponding intensity of the GFP signal (Y-axis) for each neutrophil subset. Simple linear regression was performed to quantify the relationship between the two variables. The best fit equation is plotted per neutrophil </w:t>
      </w:r>
      <w:proofErr w:type="gramStart"/>
      <w:r w:rsidRPr="003807A8">
        <w:rPr>
          <w:i/>
          <w:iCs/>
          <w:sz w:val="20"/>
          <w:szCs w:val="20"/>
          <w:lang w:val="en-US"/>
        </w:rPr>
        <w:t>subset</w:t>
      </w:r>
      <w:proofErr w:type="gramEnd"/>
      <w:r w:rsidRPr="003807A8">
        <w:rPr>
          <w:i/>
          <w:iCs/>
          <w:sz w:val="20"/>
          <w:szCs w:val="20"/>
          <w:lang w:val="en-US"/>
        </w:rPr>
        <w:t xml:space="preserve"> and the equation is shown including the P-value for the slope and the R</w:t>
      </w:r>
      <w:r w:rsidRPr="003807A8">
        <w:rPr>
          <w:i/>
          <w:iCs/>
          <w:sz w:val="20"/>
          <w:szCs w:val="20"/>
          <w:vertAlign w:val="superscript"/>
          <w:lang w:val="en-US"/>
        </w:rPr>
        <w:t>2</w:t>
      </w:r>
      <w:r w:rsidRPr="003807A8">
        <w:rPr>
          <w:i/>
          <w:iCs/>
          <w:sz w:val="20"/>
          <w:szCs w:val="20"/>
          <w:lang w:val="en-US"/>
        </w:rPr>
        <w:t xml:space="preserve"> value (B). </w:t>
      </w:r>
    </w:p>
    <w:p w14:paraId="0FDCFC9C" w14:textId="77777777" w:rsidR="009C5502" w:rsidRPr="007F001D" w:rsidRDefault="009C5502" w:rsidP="009C5502">
      <w:pPr>
        <w:jc w:val="both"/>
        <w:rPr>
          <w:i/>
          <w:iCs/>
          <w:sz w:val="18"/>
          <w:szCs w:val="18"/>
          <w:lang w:val="en-US"/>
        </w:rPr>
      </w:pPr>
    </w:p>
    <w:p w14:paraId="2BD3AB9D" w14:textId="77777777" w:rsidR="009C5502" w:rsidRPr="007F001D" w:rsidRDefault="009C5502" w:rsidP="009C5502">
      <w:pPr>
        <w:jc w:val="both"/>
        <w:rPr>
          <w:i/>
          <w:iCs/>
          <w:sz w:val="18"/>
          <w:szCs w:val="18"/>
          <w:lang w:val="en-US"/>
        </w:rPr>
      </w:pPr>
    </w:p>
    <w:p w14:paraId="726B6FB0" w14:textId="77777777" w:rsidR="009C5502" w:rsidRPr="007F001D" w:rsidRDefault="009C5502" w:rsidP="009C5502">
      <w:pPr>
        <w:jc w:val="both"/>
        <w:rPr>
          <w:i/>
          <w:iCs/>
          <w:sz w:val="18"/>
          <w:szCs w:val="18"/>
          <w:lang w:val="en-US"/>
        </w:rPr>
      </w:pPr>
    </w:p>
    <w:p w14:paraId="1EA8A1FC" w14:textId="77777777" w:rsidR="009C5502" w:rsidRPr="007F001D" w:rsidRDefault="009C5502" w:rsidP="009C5502">
      <w:pPr>
        <w:jc w:val="both"/>
        <w:rPr>
          <w:i/>
          <w:iCs/>
          <w:sz w:val="18"/>
          <w:szCs w:val="18"/>
          <w:lang w:val="en-US"/>
        </w:rPr>
      </w:pPr>
    </w:p>
    <w:p w14:paraId="465AFB84" w14:textId="77777777" w:rsidR="009C5502" w:rsidRPr="007F001D" w:rsidRDefault="009C5502" w:rsidP="009C5502">
      <w:pPr>
        <w:jc w:val="both"/>
        <w:rPr>
          <w:i/>
          <w:iCs/>
          <w:sz w:val="18"/>
          <w:szCs w:val="18"/>
          <w:lang w:val="en-US"/>
        </w:rPr>
      </w:pPr>
    </w:p>
    <w:p w14:paraId="2B6FCEEC" w14:textId="77777777" w:rsidR="009C5502" w:rsidRPr="007F001D" w:rsidRDefault="009C5502" w:rsidP="009C5502">
      <w:pPr>
        <w:jc w:val="both"/>
        <w:rPr>
          <w:i/>
          <w:iCs/>
          <w:sz w:val="18"/>
          <w:szCs w:val="18"/>
          <w:lang w:val="en-US"/>
        </w:rPr>
      </w:pPr>
    </w:p>
    <w:p w14:paraId="7B61F0A6" w14:textId="77777777" w:rsidR="009C5502" w:rsidRPr="007F001D" w:rsidRDefault="009C5502" w:rsidP="009C5502">
      <w:pPr>
        <w:jc w:val="both"/>
        <w:rPr>
          <w:i/>
          <w:iCs/>
          <w:sz w:val="18"/>
          <w:szCs w:val="18"/>
          <w:lang w:val="en-US"/>
        </w:rPr>
      </w:pPr>
    </w:p>
    <w:p w14:paraId="775A03FE" w14:textId="77777777" w:rsidR="009C5502" w:rsidRPr="007F001D" w:rsidRDefault="009C5502" w:rsidP="009C5502">
      <w:pPr>
        <w:jc w:val="both"/>
        <w:rPr>
          <w:i/>
          <w:iCs/>
          <w:sz w:val="18"/>
          <w:szCs w:val="18"/>
          <w:lang w:val="en-US"/>
        </w:rPr>
      </w:pPr>
    </w:p>
    <w:p w14:paraId="5358127F" w14:textId="77777777" w:rsidR="009C5502" w:rsidRDefault="009C5502" w:rsidP="009C5502">
      <w:pPr>
        <w:jc w:val="both"/>
        <w:rPr>
          <w:i/>
          <w:iCs/>
          <w:sz w:val="18"/>
          <w:szCs w:val="18"/>
          <w:lang w:val="en-US"/>
        </w:rPr>
      </w:pPr>
      <w:r>
        <w:rPr>
          <w:b/>
          <w:bCs/>
          <w:noProof/>
          <w:lang w:val="en-US"/>
        </w:rPr>
        <w:drawing>
          <wp:inline distT="0" distB="0" distL="0" distR="0" wp14:anchorId="5AFB7008" wp14:editId="7B05C249">
            <wp:extent cx="5753100" cy="5600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5600700"/>
                    </a:xfrm>
                    <a:prstGeom prst="rect">
                      <a:avLst/>
                    </a:prstGeom>
                    <a:noFill/>
                    <a:ln>
                      <a:noFill/>
                    </a:ln>
                  </pic:spPr>
                </pic:pic>
              </a:graphicData>
            </a:graphic>
          </wp:inline>
        </w:drawing>
      </w:r>
    </w:p>
    <w:p w14:paraId="74CA6947" w14:textId="77777777" w:rsidR="009C5502" w:rsidRPr="0067744A" w:rsidRDefault="009C5502" w:rsidP="009C5502">
      <w:pPr>
        <w:jc w:val="both"/>
        <w:rPr>
          <w:i/>
          <w:iCs/>
          <w:sz w:val="18"/>
          <w:szCs w:val="18"/>
          <w:lang w:val="en-US"/>
        </w:rPr>
      </w:pPr>
    </w:p>
    <w:p w14:paraId="1435AC27" w14:textId="77777777" w:rsidR="009C5502" w:rsidRPr="007F001D" w:rsidRDefault="009C5502" w:rsidP="009C5502">
      <w:pPr>
        <w:jc w:val="both"/>
        <w:rPr>
          <w:b/>
          <w:bCs/>
          <w:i/>
          <w:iCs/>
          <w:sz w:val="20"/>
          <w:szCs w:val="20"/>
          <w:lang w:val="en-US"/>
        </w:rPr>
      </w:pPr>
      <w:r w:rsidRPr="007F001D">
        <w:rPr>
          <w:b/>
          <w:bCs/>
          <w:i/>
          <w:iCs/>
          <w:sz w:val="20"/>
          <w:szCs w:val="20"/>
          <w:lang w:val="en-US"/>
        </w:rPr>
        <w:t>Suppl. Figure 5</w:t>
      </w:r>
      <w:r>
        <w:rPr>
          <w:b/>
          <w:bCs/>
          <w:i/>
          <w:iCs/>
          <w:sz w:val="20"/>
          <w:szCs w:val="20"/>
          <w:lang w:val="en-US"/>
        </w:rPr>
        <w:t>.</w:t>
      </w:r>
      <w:r w:rsidRPr="007F001D">
        <w:rPr>
          <w:b/>
          <w:bCs/>
          <w:i/>
          <w:iCs/>
          <w:sz w:val="20"/>
          <w:szCs w:val="20"/>
          <w:lang w:val="en-US"/>
        </w:rPr>
        <w:t xml:space="preserve"> Expression of reverse transmigration markers CD54/CXCR1 (according to Buckley </w:t>
      </w:r>
      <w:r>
        <w:rPr>
          <w:b/>
          <w:bCs/>
          <w:i/>
          <w:iCs/>
          <w:sz w:val="20"/>
          <w:szCs w:val="20"/>
          <w:lang w:val="en-US"/>
        </w:rPr>
        <w:t>et al.</w:t>
      </w:r>
      <w:r w:rsidRPr="007F001D">
        <w:rPr>
          <w:b/>
          <w:bCs/>
          <w:i/>
          <w:iCs/>
          <w:sz w:val="20"/>
          <w:szCs w:val="20"/>
          <w:lang w:val="en-US"/>
        </w:rPr>
        <w:t xml:space="preserve"> </w:t>
      </w:r>
      <w:r w:rsidRPr="007F001D">
        <w:rPr>
          <w:b/>
          <w:bCs/>
          <w:i/>
          <w:iCs/>
          <w:sz w:val="20"/>
          <w:szCs w:val="20"/>
          <w:lang w:val="en-US"/>
        </w:rPr>
        <w:fldChar w:fldCharType="begin">
          <w:fldData xml:space="preserve">PEVuZE5vdGU+PENpdGU+PEF1dGhvcj5CdWNrbGV5PC9BdXRob3I+PFllYXI+MjAwNjwvWWVhcj48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</w:fldData>
        </w:fldChar>
      </w:r>
      <w:r>
        <w:rPr>
          <w:b/>
          <w:bCs/>
          <w:i/>
          <w:iCs/>
          <w:sz w:val="20"/>
          <w:szCs w:val="20"/>
          <w:lang w:val="en-US"/>
        </w:rPr>
        <w:instrText xml:space="preserve"> ADDIN EN.CITE </w:instrText>
      </w:r>
      <w:r>
        <w:rPr>
          <w:b/>
          <w:bCs/>
          <w:i/>
          <w:iCs/>
          <w:sz w:val="20"/>
          <w:szCs w:val="20"/>
          <w:lang w:val="en-US"/>
        </w:rPr>
        <w:fldChar w:fldCharType="begin">
          <w:fldData xml:space="preserve">PEVuZE5vdGU+PENpdGU+PEF1dGhvcj5CdWNrbGV5PC9BdXRob3I+PFllYXI+MjAwNjwvWWVhcj48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</w:fldData>
        </w:fldChar>
      </w:r>
      <w:r>
        <w:rPr>
          <w:b/>
          <w:bCs/>
          <w:i/>
          <w:iCs/>
          <w:sz w:val="20"/>
          <w:szCs w:val="20"/>
          <w:lang w:val="en-US"/>
        </w:rPr>
        <w:instrText xml:space="preserve"> ADDIN EN.CITE.DATA </w:instrText>
      </w:r>
      <w:r>
        <w:rPr>
          <w:b/>
          <w:bCs/>
          <w:i/>
          <w:iCs/>
          <w:sz w:val="20"/>
          <w:szCs w:val="20"/>
          <w:lang w:val="en-US"/>
        </w:rPr>
      </w:r>
      <w:r>
        <w:rPr>
          <w:b/>
          <w:bCs/>
          <w:i/>
          <w:iCs/>
          <w:sz w:val="20"/>
          <w:szCs w:val="20"/>
          <w:lang w:val="en-US"/>
        </w:rPr>
        <w:fldChar w:fldCharType="end"/>
      </w:r>
      <w:r w:rsidRPr="007F001D">
        <w:rPr>
          <w:b/>
          <w:bCs/>
          <w:i/>
          <w:iCs/>
          <w:sz w:val="20"/>
          <w:szCs w:val="20"/>
          <w:lang w:val="en-US"/>
        </w:rPr>
      </w:r>
      <w:r w:rsidRPr="007F001D">
        <w:rPr>
          <w:b/>
          <w:bCs/>
          <w:i/>
          <w:iCs/>
          <w:sz w:val="20"/>
          <w:szCs w:val="20"/>
          <w:lang w:val="en-US"/>
        </w:rPr>
        <w:fldChar w:fldCharType="separate"/>
      </w:r>
      <w:r>
        <w:rPr>
          <w:b/>
          <w:bCs/>
          <w:i/>
          <w:iCs/>
          <w:noProof/>
          <w:sz w:val="20"/>
          <w:szCs w:val="20"/>
          <w:lang w:val="en-US"/>
        </w:rPr>
        <w:t>(29)</w:t>
      </w:r>
      <w:r w:rsidRPr="007F001D">
        <w:rPr>
          <w:b/>
          <w:bCs/>
          <w:i/>
          <w:iCs/>
          <w:sz w:val="20"/>
          <w:szCs w:val="20"/>
          <w:lang w:val="en-US"/>
        </w:rPr>
        <w:fldChar w:fldCharType="end"/>
      </w:r>
      <w:r w:rsidRPr="007F001D">
        <w:rPr>
          <w:b/>
          <w:bCs/>
          <w:i/>
          <w:iCs/>
          <w:sz w:val="20"/>
          <w:szCs w:val="20"/>
          <w:lang w:val="en-US"/>
        </w:rPr>
        <w:t xml:space="preserve">) on neutrophils from severely injured patients over time. </w:t>
      </w:r>
      <w:r w:rsidRPr="007F001D">
        <w:rPr>
          <w:i/>
          <w:iCs/>
          <w:sz w:val="20"/>
          <w:szCs w:val="20"/>
          <w:lang w:val="en-US"/>
        </w:rPr>
        <w:t>CD54 and CXCR1 expression on neutrophils (black/grey) from a healthy control, showing the gating for CD54</w:t>
      </w:r>
      <w:r w:rsidRPr="007F001D">
        <w:rPr>
          <w:i/>
          <w:iCs/>
          <w:sz w:val="20"/>
          <w:szCs w:val="20"/>
          <w:vertAlign w:val="superscript"/>
          <w:lang w:val="en-US"/>
        </w:rPr>
        <w:t>high</w:t>
      </w:r>
      <w:r w:rsidRPr="007F001D">
        <w:rPr>
          <w:i/>
          <w:iCs/>
          <w:sz w:val="20"/>
          <w:szCs w:val="20"/>
          <w:lang w:val="en-US"/>
        </w:rPr>
        <w:t>CXCR1</w:t>
      </w:r>
      <w:r w:rsidRPr="007F001D">
        <w:rPr>
          <w:i/>
          <w:iCs/>
          <w:sz w:val="20"/>
          <w:szCs w:val="20"/>
          <w:vertAlign w:val="superscript"/>
          <w:lang w:val="en-US"/>
        </w:rPr>
        <w:t>low</w:t>
      </w:r>
      <w:r w:rsidRPr="007F001D">
        <w:rPr>
          <w:i/>
          <w:iCs/>
          <w:sz w:val="20"/>
          <w:szCs w:val="20"/>
          <w:lang w:val="en-US"/>
        </w:rPr>
        <w:t xml:space="preserve"> cells. Monocytes (blue) are included in the plots as a positive control for CD54 expression </w:t>
      </w:r>
      <w:r w:rsidRPr="007F001D">
        <w:rPr>
          <w:b/>
          <w:bCs/>
          <w:i/>
          <w:iCs/>
          <w:sz w:val="20"/>
          <w:szCs w:val="20"/>
          <w:lang w:val="en-US"/>
        </w:rPr>
        <w:t>(A)</w:t>
      </w:r>
      <w:r w:rsidRPr="007F001D">
        <w:rPr>
          <w:i/>
          <w:iCs/>
          <w:sz w:val="20"/>
          <w:szCs w:val="20"/>
          <w:lang w:val="en-US"/>
        </w:rPr>
        <w:t>.</w:t>
      </w:r>
      <w:r w:rsidRPr="007F001D">
        <w:rPr>
          <w:b/>
          <w:bCs/>
          <w:i/>
          <w:iCs/>
          <w:sz w:val="20"/>
          <w:szCs w:val="20"/>
          <w:lang w:val="en-US"/>
        </w:rPr>
        <w:t xml:space="preserve"> </w:t>
      </w:r>
      <w:r w:rsidRPr="007F001D">
        <w:rPr>
          <w:i/>
          <w:iCs/>
          <w:sz w:val="20"/>
          <w:szCs w:val="20"/>
          <w:lang w:val="en-US"/>
        </w:rPr>
        <w:t>Representative FACS plots showing CD54 and CXCR1 expression over time in a severely injured patient. No distinct population was observed</w:t>
      </w:r>
      <w:r>
        <w:rPr>
          <w:i/>
          <w:iCs/>
          <w:sz w:val="20"/>
          <w:szCs w:val="20"/>
          <w:lang w:val="en-US"/>
        </w:rPr>
        <w:t xml:space="preserve"> in any patient </w:t>
      </w:r>
      <w:r w:rsidRPr="007F001D">
        <w:rPr>
          <w:b/>
          <w:bCs/>
          <w:i/>
          <w:iCs/>
          <w:sz w:val="20"/>
          <w:szCs w:val="20"/>
          <w:lang w:val="en-US"/>
        </w:rPr>
        <w:t>(B)</w:t>
      </w:r>
      <w:r w:rsidRPr="007F001D">
        <w:rPr>
          <w:i/>
          <w:iCs/>
          <w:sz w:val="20"/>
          <w:szCs w:val="20"/>
          <w:lang w:val="en-US"/>
        </w:rPr>
        <w:t>. Percentages of CD54</w:t>
      </w:r>
      <w:r w:rsidRPr="007F001D">
        <w:rPr>
          <w:i/>
          <w:iCs/>
          <w:sz w:val="20"/>
          <w:szCs w:val="20"/>
          <w:vertAlign w:val="superscript"/>
          <w:lang w:val="en-US"/>
        </w:rPr>
        <w:t>high</w:t>
      </w:r>
      <w:r w:rsidRPr="007F001D">
        <w:rPr>
          <w:i/>
          <w:iCs/>
          <w:sz w:val="20"/>
          <w:szCs w:val="20"/>
          <w:lang w:val="en-US"/>
        </w:rPr>
        <w:t>CXCR1</w:t>
      </w:r>
      <w:r w:rsidRPr="007F001D">
        <w:rPr>
          <w:i/>
          <w:iCs/>
          <w:sz w:val="20"/>
          <w:szCs w:val="20"/>
          <w:vertAlign w:val="superscript"/>
          <w:lang w:val="en-US"/>
        </w:rPr>
        <w:t>low</w:t>
      </w:r>
      <w:r w:rsidRPr="007F001D">
        <w:rPr>
          <w:i/>
          <w:iCs/>
          <w:sz w:val="20"/>
          <w:szCs w:val="20"/>
          <w:lang w:val="en-US"/>
        </w:rPr>
        <w:t xml:space="preserve"> cells within the </w:t>
      </w:r>
      <w:proofErr w:type="spellStart"/>
      <w:r w:rsidRPr="007F001D">
        <w:rPr>
          <w:i/>
          <w:iCs/>
          <w:sz w:val="20"/>
          <w:szCs w:val="20"/>
          <w:lang w:val="en-US"/>
        </w:rPr>
        <w:t>hypersegmented</w:t>
      </w:r>
      <w:proofErr w:type="spellEnd"/>
      <w:r w:rsidRPr="007F001D">
        <w:rPr>
          <w:i/>
          <w:iCs/>
          <w:sz w:val="20"/>
          <w:szCs w:val="20"/>
          <w:lang w:val="en-US"/>
        </w:rPr>
        <w:t xml:space="preserve"> and mature neutrophil subsets are shown. Statistical significance was assessed using Wilcoxon </w:t>
      </w:r>
      <w:proofErr w:type="gramStart"/>
      <w:r w:rsidRPr="007F001D">
        <w:rPr>
          <w:i/>
          <w:iCs/>
          <w:sz w:val="20"/>
          <w:szCs w:val="20"/>
          <w:lang w:val="en-US"/>
        </w:rPr>
        <w:t>matched-pairs</w:t>
      </w:r>
      <w:proofErr w:type="gramEnd"/>
      <w:r w:rsidRPr="007F001D">
        <w:rPr>
          <w:i/>
          <w:iCs/>
          <w:sz w:val="20"/>
          <w:szCs w:val="20"/>
          <w:lang w:val="en-US"/>
        </w:rPr>
        <w:t xml:space="preserve"> signed rank test to compare median percentages of CD54</w:t>
      </w:r>
      <w:r w:rsidRPr="007F001D">
        <w:rPr>
          <w:i/>
          <w:iCs/>
          <w:sz w:val="20"/>
          <w:szCs w:val="20"/>
          <w:vertAlign w:val="superscript"/>
          <w:lang w:val="en-US"/>
        </w:rPr>
        <w:t>high</w:t>
      </w:r>
      <w:r w:rsidRPr="007F001D">
        <w:rPr>
          <w:i/>
          <w:iCs/>
          <w:sz w:val="20"/>
          <w:szCs w:val="20"/>
          <w:lang w:val="en-US"/>
        </w:rPr>
        <w:t>CXCR1</w:t>
      </w:r>
      <w:r w:rsidRPr="007F001D">
        <w:rPr>
          <w:i/>
          <w:iCs/>
          <w:sz w:val="20"/>
          <w:szCs w:val="20"/>
          <w:vertAlign w:val="superscript"/>
          <w:lang w:val="en-US"/>
        </w:rPr>
        <w:t>low</w:t>
      </w:r>
      <w:r w:rsidRPr="007F001D">
        <w:rPr>
          <w:i/>
          <w:iCs/>
          <w:sz w:val="20"/>
          <w:szCs w:val="20"/>
          <w:lang w:val="en-US"/>
        </w:rPr>
        <w:t xml:space="preserve"> cells between </w:t>
      </w:r>
      <w:proofErr w:type="spellStart"/>
      <w:r w:rsidRPr="007F001D">
        <w:rPr>
          <w:i/>
          <w:iCs/>
          <w:sz w:val="20"/>
          <w:szCs w:val="20"/>
          <w:lang w:val="en-US"/>
        </w:rPr>
        <w:t>hypersegmented</w:t>
      </w:r>
      <w:proofErr w:type="spellEnd"/>
      <w:r w:rsidRPr="007F001D">
        <w:rPr>
          <w:i/>
          <w:iCs/>
          <w:sz w:val="20"/>
          <w:szCs w:val="20"/>
          <w:lang w:val="en-US"/>
        </w:rPr>
        <w:t xml:space="preserve"> and mature subset. No comparisons were statistically significant, as indicated by ‘ns’ </w:t>
      </w:r>
      <w:r w:rsidRPr="007F001D">
        <w:rPr>
          <w:b/>
          <w:bCs/>
          <w:i/>
          <w:iCs/>
          <w:sz w:val="20"/>
          <w:szCs w:val="20"/>
          <w:lang w:val="en-US"/>
        </w:rPr>
        <w:t>(C)</w:t>
      </w:r>
      <w:r w:rsidRPr="007F001D">
        <w:rPr>
          <w:i/>
          <w:iCs/>
          <w:sz w:val="20"/>
          <w:szCs w:val="20"/>
          <w:lang w:val="en-US"/>
        </w:rPr>
        <w:t>. Single cells were identified using FSC-A/FSC-W gating, followed by selection of CD45+ cells. Doublets and lineage-positive cells (CD193+, CD3+, CD19+, and/or HLA-DR+) were excluded prior to neutrophil subset gating, as shown in Suppl. Figure 2.</w:t>
      </w:r>
    </w:p>
    <w:p w14:paraId="68B76C34" w14:textId="77777777" w:rsidR="00C6465A" w:rsidRDefault="00C6465A"/>
    <w:sectPr w:rsidR="00C6465A" w:rsidSect="009C5502">
      <w:footerReference w:type="default" r:id="rId9"/>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42512"/>
      <w:docPartObj>
        <w:docPartGallery w:val="Page Numbers (Bottom of Page)"/>
        <w:docPartUnique/>
      </w:docPartObj>
    </w:sdtPr>
    <w:sdtContent>
      <w:p w14:paraId="26FB737E" w14:textId="77777777" w:rsidR="009C5502" w:rsidRDefault="009C5502">
        <w:pPr>
          <w:pStyle w:val="Footer"/>
          <w:jc w:val="right"/>
        </w:pPr>
        <w:r>
          <w:fldChar w:fldCharType="begin"/>
        </w:r>
        <w:r>
          <w:instrText>PAGE   \* MERGEFORMAT</w:instrText>
        </w:r>
        <w:r>
          <w:fldChar w:fldCharType="separate"/>
        </w:r>
        <w:r>
          <w:t>2</w:t>
        </w:r>
        <w:r>
          <w:fldChar w:fldCharType="end"/>
        </w:r>
      </w:p>
    </w:sdtContent>
  </w:sdt>
  <w:p w14:paraId="178A5DC0" w14:textId="77777777" w:rsidR="009C5502" w:rsidRDefault="009C5502">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502"/>
    <w:rsid w:val="000905F0"/>
    <w:rsid w:val="00112C91"/>
    <w:rsid w:val="00242B4F"/>
    <w:rsid w:val="00302F9E"/>
    <w:rsid w:val="004377CC"/>
    <w:rsid w:val="004E23CF"/>
    <w:rsid w:val="006D5216"/>
    <w:rsid w:val="009C5502"/>
    <w:rsid w:val="00A80498"/>
    <w:rsid w:val="00C52040"/>
    <w:rsid w:val="00C62D14"/>
    <w:rsid w:val="00C6465A"/>
    <w:rsid w:val="00EA35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6B8E9"/>
  <w15:chartTrackingRefBased/>
  <w15:docId w15:val="{1BBA65D1-1000-4D46-A925-E0456C75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502"/>
    <w:pPr>
      <w:spacing w:line="259" w:lineRule="auto"/>
    </w:pPr>
    <w:rPr>
      <w:rFonts w:eastAsiaTheme="minorEastAsia"/>
      <w:kern w:val="0"/>
      <w:sz w:val="22"/>
      <w:szCs w:val="22"/>
      <w:lang w:val="nl-NL"/>
      <w14:ligatures w14:val="none"/>
    </w:rPr>
  </w:style>
  <w:style w:type="paragraph" w:styleId="Heading1">
    <w:name w:val="heading 1"/>
    <w:basedOn w:val="Normal"/>
    <w:next w:val="Normal"/>
    <w:link w:val="Heading1Char"/>
    <w:uiPriority w:val="9"/>
    <w:qFormat/>
    <w:rsid w:val="009C550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9C550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9C5502"/>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9C5502"/>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9C5502"/>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9C5502"/>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9C5502"/>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9C5502"/>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9C5502"/>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5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5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5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5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5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5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5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5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502"/>
    <w:rPr>
      <w:rFonts w:eastAsiaTheme="majorEastAsia" w:cstheme="majorBidi"/>
      <w:color w:val="272727" w:themeColor="text1" w:themeTint="D8"/>
    </w:rPr>
  </w:style>
  <w:style w:type="paragraph" w:styleId="Title">
    <w:name w:val="Title"/>
    <w:basedOn w:val="Normal"/>
    <w:next w:val="Normal"/>
    <w:link w:val="TitleChar"/>
    <w:uiPriority w:val="10"/>
    <w:qFormat/>
    <w:rsid w:val="009C5502"/>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9C55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502"/>
    <w:pPr>
      <w:numPr>
        <w:ilvl w:val="1"/>
      </w:numPr>
      <w:spacing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9C55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502"/>
    <w:pPr>
      <w:spacing w:before="160" w:line="278" w:lineRule="auto"/>
      <w:jc w:val="center"/>
    </w:pPr>
    <w:rPr>
      <w:rFonts w:eastAsiaTheme="minorHAns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9C5502"/>
    <w:rPr>
      <w:i/>
      <w:iCs/>
      <w:color w:val="404040" w:themeColor="text1" w:themeTint="BF"/>
    </w:rPr>
  </w:style>
  <w:style w:type="paragraph" w:styleId="ListParagraph">
    <w:name w:val="List Paragraph"/>
    <w:basedOn w:val="Normal"/>
    <w:uiPriority w:val="34"/>
    <w:qFormat/>
    <w:rsid w:val="009C5502"/>
    <w:pPr>
      <w:spacing w:line="278" w:lineRule="auto"/>
      <w:ind w:left="720"/>
      <w:contextualSpacing/>
    </w:pPr>
    <w:rPr>
      <w:rFonts w:eastAsiaTheme="minorHAnsi"/>
      <w:kern w:val="2"/>
      <w:sz w:val="24"/>
      <w:szCs w:val="24"/>
      <w:lang w:val="en-IN"/>
      <w14:ligatures w14:val="standardContextual"/>
    </w:rPr>
  </w:style>
  <w:style w:type="character" w:styleId="IntenseEmphasis">
    <w:name w:val="Intense Emphasis"/>
    <w:basedOn w:val="DefaultParagraphFont"/>
    <w:uiPriority w:val="21"/>
    <w:qFormat/>
    <w:rsid w:val="009C5502"/>
    <w:rPr>
      <w:i/>
      <w:iCs/>
      <w:color w:val="0F4761" w:themeColor="accent1" w:themeShade="BF"/>
    </w:rPr>
  </w:style>
  <w:style w:type="paragraph" w:styleId="IntenseQuote">
    <w:name w:val="Intense Quote"/>
    <w:basedOn w:val="Normal"/>
    <w:next w:val="Normal"/>
    <w:link w:val="IntenseQuoteChar"/>
    <w:uiPriority w:val="30"/>
    <w:qFormat/>
    <w:rsid w:val="009C550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9C5502"/>
    <w:rPr>
      <w:i/>
      <w:iCs/>
      <w:color w:val="0F4761" w:themeColor="accent1" w:themeShade="BF"/>
    </w:rPr>
  </w:style>
  <w:style w:type="character" w:styleId="IntenseReference">
    <w:name w:val="Intense Reference"/>
    <w:basedOn w:val="DefaultParagraphFont"/>
    <w:uiPriority w:val="32"/>
    <w:qFormat/>
    <w:rsid w:val="009C5502"/>
    <w:rPr>
      <w:b/>
      <w:bCs/>
      <w:smallCaps/>
      <w:color w:val="0F4761" w:themeColor="accent1" w:themeShade="BF"/>
      <w:spacing w:val="5"/>
    </w:rPr>
  </w:style>
  <w:style w:type="paragraph" w:styleId="NoSpacing">
    <w:name w:val="No Spacing"/>
    <w:uiPriority w:val="1"/>
    <w:qFormat/>
    <w:rsid w:val="009C5502"/>
    <w:pPr>
      <w:spacing w:after="0" w:line="240" w:lineRule="auto"/>
    </w:pPr>
    <w:rPr>
      <w:rFonts w:eastAsiaTheme="minorEastAsia"/>
      <w:kern w:val="0"/>
      <w:sz w:val="22"/>
      <w:szCs w:val="22"/>
      <w:lang w:val="nl-NL"/>
      <w14:ligatures w14:val="none"/>
    </w:rPr>
  </w:style>
  <w:style w:type="character" w:styleId="Strong">
    <w:name w:val="Strong"/>
    <w:basedOn w:val="DefaultParagraphFont"/>
    <w:uiPriority w:val="22"/>
    <w:qFormat/>
    <w:rsid w:val="009C5502"/>
    <w:rPr>
      <w:b/>
      <w:bCs/>
    </w:rPr>
  </w:style>
  <w:style w:type="paragraph" w:styleId="Footer">
    <w:name w:val="footer"/>
    <w:basedOn w:val="Normal"/>
    <w:link w:val="FooterChar"/>
    <w:uiPriority w:val="99"/>
    <w:unhideWhenUsed/>
    <w:rsid w:val="009C5502"/>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5502"/>
    <w:rPr>
      <w:rFonts w:eastAsiaTheme="minorEastAsia"/>
      <w:kern w:val="0"/>
      <w:sz w:val="22"/>
      <w:szCs w:val="22"/>
      <w:lang w:val="nl-NL"/>
      <w14:ligatures w14:val="none"/>
    </w:rPr>
  </w:style>
  <w:style w:type="paragraph" w:customStyle="1" w:styleId="Style2">
    <w:name w:val="Style2"/>
    <w:basedOn w:val="Heading2"/>
    <w:link w:val="Style2Char"/>
    <w:rsid w:val="009C5502"/>
    <w:pPr>
      <w:spacing w:before="40" w:after="0" w:line="480" w:lineRule="auto"/>
      <w:jc w:val="both"/>
    </w:pPr>
    <w:rPr>
      <w:rFonts w:cstheme="minorHAnsi"/>
      <w:b/>
      <w:bCs/>
      <w:i/>
      <w:iCs/>
      <w:kern w:val="0"/>
      <w:sz w:val="22"/>
      <w:szCs w:val="22"/>
      <w:lang w:val="en-US"/>
      <w14:ligatures w14:val="none"/>
    </w:rPr>
  </w:style>
  <w:style w:type="character" w:customStyle="1" w:styleId="Style2Char">
    <w:name w:val="Style2 Char"/>
    <w:basedOn w:val="Heading2Char"/>
    <w:link w:val="Style2"/>
    <w:rsid w:val="009C5502"/>
    <w:rPr>
      <w:rFonts w:asciiTheme="majorHAnsi" w:eastAsiaTheme="majorEastAsia" w:hAnsiTheme="majorHAnsi" w:cstheme="minorHAnsi"/>
      <w:b/>
      <w:bCs/>
      <w:i/>
      <w:iCs/>
      <w:color w:val="0F4761" w:themeColor="accent1" w:themeShade="BF"/>
      <w:kern w:val="0"/>
      <w:sz w:val="22"/>
      <w:szCs w:val="22"/>
      <w:lang w:val="en-US"/>
      <w14:ligatures w14:val="none"/>
    </w:rPr>
  </w:style>
  <w:style w:type="character" w:styleId="LineNumber">
    <w:name w:val="line number"/>
    <w:basedOn w:val="DefaultParagraphFont"/>
    <w:uiPriority w:val="99"/>
    <w:semiHidden/>
    <w:unhideWhenUsed/>
    <w:rsid w:val="009C5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1923</Words>
  <Characters>11137</Characters>
  <Application>Microsoft Office Word</Application>
  <DocSecurity>0</DocSecurity>
  <Lines>278</Lines>
  <Paragraphs>128</Paragraphs>
  <ScaleCrop>false</ScaleCrop>
  <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2026-07-08T09:07:00Z</dcterms:created>
  <dcterms:modified xsi:type="dcterms:W3CDTF">2026-07-08T09:08:00Z</dcterms:modified>
</cp:coreProperties>
</file>