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908" w:tblpY="2358"/>
        <w:tblOverlap w:val="never"/>
        <w:tblW w:w="832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65"/>
        <w:gridCol w:w="2517"/>
        <w:gridCol w:w="314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2665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widowControl/>
              <w:jc w:val="center"/>
              <w:textAlignment w:val="top"/>
              <w:rPr>
                <w:rFonts w:hint="default" w:ascii="Arial" w:hAnsi="Arial" w:cs="Arial"/>
                <w:b/>
                <w:color w:val="000000"/>
                <w:sz w:val="21"/>
                <w:szCs w:val="21"/>
              </w:rPr>
            </w:pPr>
            <w:r>
              <w:rPr>
                <w:rFonts w:hint="default" w:ascii="Arial" w:hAnsi="Arial" w:cs="Arial"/>
                <w:b/>
                <w:color w:val="000000"/>
                <w:kern w:val="0"/>
                <w:sz w:val="21"/>
                <w:szCs w:val="21"/>
              </w:rPr>
              <w:t>Species</w:t>
            </w:r>
          </w:p>
        </w:tc>
        <w:tc>
          <w:tcPr>
            <w:tcW w:w="251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widowControl/>
              <w:jc w:val="center"/>
              <w:textAlignment w:val="top"/>
              <w:rPr>
                <w:rFonts w:hint="default" w:ascii="Arial" w:hAnsi="Arial" w:cs="Arial"/>
                <w:b/>
                <w:color w:val="000000"/>
                <w:sz w:val="21"/>
                <w:szCs w:val="21"/>
              </w:rPr>
            </w:pPr>
            <w:r>
              <w:rPr>
                <w:rFonts w:hint="default" w:ascii="Arial" w:hAnsi="Arial" w:cs="Arial"/>
                <w:b/>
                <w:color w:val="000000"/>
                <w:sz w:val="21"/>
                <w:szCs w:val="21"/>
              </w:rPr>
              <w:t>Family</w:t>
            </w:r>
          </w:p>
        </w:tc>
        <w:tc>
          <w:tcPr>
            <w:tcW w:w="3146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widowControl/>
              <w:jc w:val="center"/>
              <w:textAlignment w:val="top"/>
              <w:rPr>
                <w:rFonts w:hint="default" w:ascii="Arial" w:hAnsi="Arial" w:eastAsia="宋体" w:cs="Arial"/>
                <w:b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color w:val="000000"/>
                <w:sz w:val="21"/>
                <w:szCs w:val="21"/>
                <w:lang w:val="en-US" w:eastAsia="zh-CN"/>
              </w:rPr>
              <w:t>Source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/>
                <w:color w:val="000000"/>
                <w:sz w:val="20"/>
                <w:szCs w:val="20"/>
              </w:rPr>
            </w:pPr>
            <w:r>
              <w:rPr>
                <w:rFonts w:hint="default" w:ascii="Arial" w:hAnsi="Arial" w:cs="Arial"/>
                <w:i/>
                <w:color w:val="000000"/>
                <w:sz w:val="20"/>
                <w:szCs w:val="20"/>
              </w:rPr>
              <w:t xml:space="preserve">Enhalus acoroides 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E101A"/>
                <w:sz w:val="20"/>
                <w:szCs w:val="20"/>
              </w:rPr>
              <w:t xml:space="preserve">Hydrocharitaceae </w:t>
            </w:r>
          </w:p>
        </w:tc>
        <w:tc>
          <w:tcPr>
            <w:tcW w:w="31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Ross et al. (2016)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/>
                <w:color w:val="000000"/>
                <w:sz w:val="20"/>
                <w:szCs w:val="20"/>
              </w:rPr>
            </w:pPr>
            <w:r>
              <w:rPr>
                <w:rFonts w:hint="default" w:ascii="Arial" w:hAnsi="Arial" w:cs="Arial"/>
                <w:i/>
                <w:color w:val="000000"/>
                <w:sz w:val="20"/>
                <w:szCs w:val="20"/>
              </w:rPr>
              <w:t xml:space="preserve">Enhalus acoroides 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E101A"/>
                <w:sz w:val="20"/>
                <w:szCs w:val="20"/>
              </w:rPr>
              <w:t xml:space="preserve">Hydrocharitaceae </w:t>
            </w:r>
          </w:p>
        </w:tc>
        <w:tc>
          <w:tcPr>
            <w:tcW w:w="31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 w:val="0"/>
                <w:iCs/>
                <w:color w:val="000000"/>
                <w:sz w:val="20"/>
                <w:szCs w:val="20"/>
              </w:rPr>
            </w:pPr>
            <w:r>
              <w:rPr>
                <w:rFonts w:hint="default" w:ascii="Arial" w:hAnsi="Arial" w:cs="Arial"/>
                <w:i w:val="0"/>
                <w:iCs/>
                <w:color w:val="000000"/>
                <w:sz w:val="20"/>
                <w:szCs w:val="20"/>
              </w:rPr>
              <w:t>NC_048519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/>
                <w:color w:val="000000"/>
                <w:sz w:val="20"/>
                <w:szCs w:val="20"/>
              </w:rPr>
            </w:pPr>
            <w:r>
              <w:rPr>
                <w:rFonts w:hint="default" w:ascii="Arial" w:hAnsi="Arial" w:cs="Arial"/>
                <w:i/>
                <w:color w:val="000000"/>
                <w:sz w:val="20"/>
                <w:szCs w:val="20"/>
              </w:rPr>
              <w:t xml:space="preserve">Thalassia hemprichii 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E101A"/>
                <w:sz w:val="20"/>
                <w:szCs w:val="20"/>
              </w:rPr>
              <w:t xml:space="preserve">Hydrocharitaceae </w:t>
            </w:r>
          </w:p>
        </w:tc>
        <w:tc>
          <w:tcPr>
            <w:tcW w:w="31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 w:val="0"/>
                <w:iCs/>
                <w:color w:val="000000"/>
                <w:sz w:val="20"/>
                <w:szCs w:val="20"/>
              </w:rPr>
            </w:pPr>
            <w:r>
              <w:rPr>
                <w:rFonts w:hint="default" w:ascii="Arial" w:hAnsi="Arial" w:cs="Arial"/>
                <w:i w:val="0"/>
                <w:iCs/>
                <w:color w:val="000000"/>
                <w:sz w:val="20"/>
                <w:szCs w:val="20"/>
              </w:rPr>
              <w:t>NC_043774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/>
                <w:color w:val="000000"/>
                <w:sz w:val="20"/>
                <w:szCs w:val="20"/>
              </w:rPr>
            </w:pPr>
            <w:r>
              <w:rPr>
                <w:rFonts w:hint="default" w:ascii="Arial" w:hAnsi="Arial" w:cs="Arial"/>
                <w:i/>
                <w:color w:val="000000"/>
                <w:sz w:val="20"/>
                <w:szCs w:val="20"/>
              </w:rPr>
              <w:t xml:space="preserve">Thalassia testudinum 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E101A"/>
                <w:sz w:val="20"/>
                <w:szCs w:val="20"/>
              </w:rPr>
              <w:t xml:space="preserve">Hydrocharitaceae </w:t>
            </w:r>
          </w:p>
        </w:tc>
        <w:tc>
          <w:tcPr>
            <w:tcW w:w="31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 w:val="0"/>
                <w:iCs/>
                <w:color w:val="000000"/>
                <w:sz w:val="20"/>
                <w:szCs w:val="20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Ross et al. (2016)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/>
                <w:color w:val="000000"/>
                <w:sz w:val="20"/>
                <w:szCs w:val="20"/>
              </w:rPr>
            </w:pPr>
            <w:r>
              <w:rPr>
                <w:rFonts w:hint="default" w:ascii="Arial" w:hAnsi="Arial" w:cs="Arial"/>
                <w:i/>
                <w:color w:val="000000"/>
                <w:sz w:val="20"/>
                <w:szCs w:val="20"/>
              </w:rPr>
              <w:t xml:space="preserve">Halophila beccarii 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E101A"/>
                <w:sz w:val="20"/>
                <w:szCs w:val="20"/>
              </w:rPr>
              <w:t xml:space="preserve">Hydrocharitaceae </w:t>
            </w:r>
          </w:p>
        </w:tc>
        <w:tc>
          <w:tcPr>
            <w:tcW w:w="31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 w:val="0"/>
                <w:iCs/>
                <w:color w:val="000000"/>
                <w:sz w:val="20"/>
                <w:szCs w:val="20"/>
              </w:rPr>
            </w:pPr>
            <w:r>
              <w:rPr>
                <w:rFonts w:hint="default" w:ascii="Arial" w:hAnsi="Arial" w:cs="Arial"/>
                <w:i w:val="0"/>
                <w:iCs/>
                <w:color w:val="000000"/>
                <w:sz w:val="20"/>
                <w:szCs w:val="20"/>
              </w:rPr>
              <w:t>NC_051970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/>
                <w:color w:val="000000"/>
                <w:sz w:val="20"/>
                <w:szCs w:val="20"/>
              </w:rPr>
            </w:pPr>
            <w:r>
              <w:rPr>
                <w:rFonts w:hint="default" w:ascii="Arial" w:hAnsi="Arial" w:cs="Arial"/>
                <w:i/>
                <w:color w:val="000000"/>
                <w:sz w:val="20"/>
                <w:szCs w:val="20"/>
              </w:rPr>
              <w:t xml:space="preserve">Nechamandra alternifolia 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E101A"/>
                <w:sz w:val="20"/>
                <w:szCs w:val="20"/>
              </w:rPr>
              <w:t xml:space="preserve">Hydrocharitaceae </w:t>
            </w:r>
          </w:p>
        </w:tc>
        <w:tc>
          <w:tcPr>
            <w:tcW w:w="31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 w:val="0"/>
                <w:iCs/>
                <w:color w:val="000000"/>
                <w:sz w:val="20"/>
                <w:szCs w:val="20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Ross et al. (2016)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/>
                <w:color w:val="000000"/>
                <w:sz w:val="20"/>
                <w:szCs w:val="20"/>
              </w:rPr>
            </w:pPr>
            <w:r>
              <w:rPr>
                <w:rFonts w:hint="default" w:ascii="Arial" w:hAnsi="Arial" w:cs="Arial"/>
                <w:i/>
                <w:color w:val="000000"/>
                <w:sz w:val="20"/>
                <w:szCs w:val="20"/>
              </w:rPr>
              <w:t>Vallisneria americana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E101A"/>
                <w:sz w:val="20"/>
                <w:szCs w:val="20"/>
              </w:rPr>
              <w:t xml:space="preserve">Hydrocharitaceae </w:t>
            </w:r>
          </w:p>
        </w:tc>
        <w:tc>
          <w:tcPr>
            <w:tcW w:w="31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 w:val="0"/>
                <w:iCs/>
                <w:color w:val="000000"/>
                <w:sz w:val="20"/>
                <w:szCs w:val="20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Ross et al. (2016)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/>
                <w:color w:val="000000"/>
                <w:sz w:val="20"/>
                <w:szCs w:val="20"/>
              </w:rPr>
            </w:pPr>
            <w:r>
              <w:rPr>
                <w:rFonts w:hint="default" w:ascii="Arial" w:hAnsi="Arial" w:cs="Arial"/>
                <w:i/>
                <w:color w:val="000000"/>
                <w:sz w:val="20"/>
                <w:szCs w:val="20"/>
              </w:rPr>
              <w:t xml:space="preserve">Najas flexilis 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E101A"/>
                <w:sz w:val="20"/>
                <w:szCs w:val="20"/>
              </w:rPr>
              <w:t xml:space="preserve">Hydrocharitaceae </w:t>
            </w:r>
          </w:p>
        </w:tc>
        <w:tc>
          <w:tcPr>
            <w:tcW w:w="31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 w:val="0"/>
                <w:iCs/>
                <w:color w:val="000000"/>
                <w:sz w:val="20"/>
                <w:szCs w:val="20"/>
              </w:rPr>
            </w:pPr>
            <w:r>
              <w:rPr>
                <w:rFonts w:hint="default" w:ascii="Arial" w:hAnsi="Arial" w:cs="Arial"/>
                <w:i w:val="0"/>
                <w:iCs/>
                <w:color w:val="000000"/>
                <w:sz w:val="20"/>
                <w:szCs w:val="20"/>
              </w:rPr>
              <w:t>NC_021936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i/>
                <w:color w:val="000000"/>
                <w:kern w:val="0"/>
                <w:sz w:val="20"/>
                <w:szCs w:val="20"/>
              </w:rPr>
              <w:t xml:space="preserve">Najas guadalupensis 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E101A"/>
                <w:sz w:val="20"/>
                <w:szCs w:val="20"/>
              </w:rPr>
              <w:t xml:space="preserve">Hydrocharitaceae </w:t>
            </w:r>
          </w:p>
        </w:tc>
        <w:tc>
          <w:tcPr>
            <w:tcW w:w="31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 w:val="0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Ross et al. (2016)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i/>
                <w:color w:val="000000"/>
                <w:kern w:val="0"/>
                <w:sz w:val="20"/>
                <w:szCs w:val="20"/>
              </w:rPr>
              <w:t>Limnobium laevigatum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E101A"/>
                <w:sz w:val="20"/>
                <w:szCs w:val="20"/>
              </w:rPr>
              <w:t xml:space="preserve">Hydrocharitaceae </w:t>
            </w:r>
          </w:p>
        </w:tc>
        <w:tc>
          <w:tcPr>
            <w:tcW w:w="31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 w:val="0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Ross et al. (2016)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i/>
                <w:color w:val="000000"/>
                <w:kern w:val="0"/>
                <w:sz w:val="20"/>
                <w:szCs w:val="20"/>
              </w:rPr>
              <w:t>Hydrocharis morsus_ranae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E101A"/>
                <w:sz w:val="20"/>
                <w:szCs w:val="20"/>
              </w:rPr>
              <w:t xml:space="preserve">Hydrocharitaceae </w:t>
            </w:r>
          </w:p>
        </w:tc>
        <w:tc>
          <w:tcPr>
            <w:tcW w:w="31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 w:val="0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Ross et al. (2016)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i/>
                <w:color w:val="000000"/>
                <w:kern w:val="0"/>
                <w:sz w:val="20"/>
                <w:szCs w:val="20"/>
              </w:rPr>
              <w:t>Elodea canadensis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E101A"/>
                <w:sz w:val="20"/>
                <w:szCs w:val="20"/>
              </w:rPr>
              <w:t xml:space="preserve">Hydrocharitaceae </w:t>
            </w:r>
          </w:p>
        </w:tc>
        <w:tc>
          <w:tcPr>
            <w:tcW w:w="31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 w:val="0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Ross et al. (2016)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i/>
                <w:color w:val="000000"/>
                <w:kern w:val="0"/>
                <w:sz w:val="20"/>
                <w:szCs w:val="20"/>
              </w:rPr>
              <w:t xml:space="preserve">Elodea canadensis 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E101A"/>
                <w:sz w:val="20"/>
                <w:szCs w:val="20"/>
              </w:rPr>
              <w:t xml:space="preserve">Hydrocharitaceae </w:t>
            </w:r>
          </w:p>
        </w:tc>
        <w:tc>
          <w:tcPr>
            <w:tcW w:w="31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 w:val="0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i w:val="0"/>
                <w:iCs/>
                <w:color w:val="000000"/>
                <w:kern w:val="0"/>
                <w:sz w:val="20"/>
                <w:szCs w:val="20"/>
              </w:rPr>
              <w:t>NC_018541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i/>
                <w:color w:val="000000"/>
                <w:kern w:val="0"/>
                <w:sz w:val="20"/>
                <w:szCs w:val="20"/>
              </w:rPr>
              <w:t>Egeria najas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E101A"/>
                <w:sz w:val="20"/>
                <w:szCs w:val="20"/>
              </w:rPr>
              <w:t xml:space="preserve">Hydrocharitaceae </w:t>
            </w:r>
          </w:p>
        </w:tc>
        <w:tc>
          <w:tcPr>
            <w:tcW w:w="31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 w:val="0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Ross et al. (2016)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i/>
                <w:color w:val="000000"/>
                <w:kern w:val="0"/>
                <w:sz w:val="20"/>
                <w:szCs w:val="20"/>
              </w:rPr>
              <w:t>Apalanthe granatensis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E101A"/>
                <w:sz w:val="20"/>
                <w:szCs w:val="20"/>
              </w:rPr>
              <w:t xml:space="preserve">Hydrocharitaceae </w:t>
            </w:r>
          </w:p>
        </w:tc>
        <w:tc>
          <w:tcPr>
            <w:tcW w:w="31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 w:val="0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Ross et al. (2016)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i/>
                <w:color w:val="000000"/>
                <w:kern w:val="0"/>
                <w:sz w:val="20"/>
                <w:szCs w:val="20"/>
              </w:rPr>
              <w:t xml:space="preserve">Ottelia cordata 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color w:val="0E101A"/>
                <w:sz w:val="20"/>
                <w:szCs w:val="20"/>
              </w:rPr>
              <w:t xml:space="preserve">Hydrocharitaceae </w:t>
            </w:r>
          </w:p>
        </w:tc>
        <w:tc>
          <w:tcPr>
            <w:tcW w:w="31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 w:val="0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i w:val="0"/>
                <w:iCs/>
                <w:color w:val="000000"/>
                <w:kern w:val="0"/>
                <w:sz w:val="20"/>
                <w:szCs w:val="20"/>
              </w:rPr>
              <w:t>NC_046891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i/>
                <w:color w:val="000000"/>
                <w:kern w:val="0"/>
                <w:sz w:val="20"/>
                <w:szCs w:val="20"/>
              </w:rPr>
              <w:t xml:space="preserve">Ottelia ovalifolia 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color w:val="0E101A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E101A"/>
                <w:sz w:val="20"/>
                <w:szCs w:val="20"/>
              </w:rPr>
              <w:t xml:space="preserve">Hydrocharitaceae </w:t>
            </w:r>
          </w:p>
        </w:tc>
        <w:tc>
          <w:tcPr>
            <w:tcW w:w="31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 w:val="0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Ross et al. (2016)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i/>
                <w:color w:val="000000"/>
                <w:kern w:val="0"/>
                <w:sz w:val="20"/>
                <w:szCs w:val="20"/>
              </w:rPr>
              <w:t xml:space="preserve">Blyxa aubertii 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color w:val="0E101A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E101A"/>
                <w:sz w:val="20"/>
                <w:szCs w:val="20"/>
              </w:rPr>
              <w:t xml:space="preserve">Hydrocharitaceae </w:t>
            </w:r>
          </w:p>
        </w:tc>
        <w:tc>
          <w:tcPr>
            <w:tcW w:w="31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 w:val="0"/>
                <w:i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Ross et al. (2016)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i/>
                <w:color w:val="000000"/>
                <w:kern w:val="0"/>
                <w:sz w:val="20"/>
                <w:szCs w:val="20"/>
              </w:rPr>
              <w:t xml:space="preserve">Lagarosiphon major 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color w:val="0E101A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E101A"/>
                <w:sz w:val="20"/>
                <w:szCs w:val="20"/>
              </w:rPr>
              <w:t xml:space="preserve">Hydrocharitaceae </w:t>
            </w:r>
          </w:p>
        </w:tc>
        <w:tc>
          <w:tcPr>
            <w:tcW w:w="31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Ross et al. (2016)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i/>
                <w:color w:val="000000"/>
                <w:kern w:val="0"/>
                <w:sz w:val="20"/>
                <w:szCs w:val="20"/>
              </w:rPr>
              <w:t xml:space="preserve">Stratiotes aloides 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color w:val="0E101A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E101A"/>
                <w:sz w:val="20"/>
                <w:szCs w:val="20"/>
              </w:rPr>
              <w:t xml:space="preserve">Hydrocharitaceae </w:t>
            </w:r>
          </w:p>
        </w:tc>
        <w:tc>
          <w:tcPr>
            <w:tcW w:w="31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Ross et al. (2016)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i/>
                <w:color w:val="000000"/>
                <w:kern w:val="0"/>
                <w:sz w:val="20"/>
                <w:szCs w:val="20"/>
              </w:rPr>
              <w:t xml:space="preserve">Alisma triviale 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color w:val="0E101A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E101A"/>
                <w:sz w:val="20"/>
                <w:szCs w:val="20"/>
              </w:rPr>
              <w:t xml:space="preserve">Alismataceae </w:t>
            </w:r>
          </w:p>
        </w:tc>
        <w:tc>
          <w:tcPr>
            <w:tcW w:w="31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Ross et al. (2016)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i/>
                <w:color w:val="000000"/>
                <w:kern w:val="0"/>
                <w:sz w:val="20"/>
                <w:szCs w:val="20"/>
              </w:rPr>
              <w:t xml:space="preserve">Baldellia ranunculoides 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color w:val="0E101A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E101A"/>
                <w:sz w:val="20"/>
                <w:szCs w:val="20"/>
              </w:rPr>
              <w:t xml:space="preserve">Alismataceae </w:t>
            </w:r>
          </w:p>
        </w:tc>
        <w:tc>
          <w:tcPr>
            <w:tcW w:w="31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Ross et al. (2016)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i/>
                <w:color w:val="000000"/>
                <w:kern w:val="0"/>
                <w:sz w:val="20"/>
                <w:szCs w:val="20"/>
              </w:rPr>
              <w:t xml:space="preserve">Hydrocleys nymphoides </w:t>
            </w: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color w:val="0E101A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E101A"/>
                <w:sz w:val="20"/>
                <w:szCs w:val="20"/>
              </w:rPr>
              <w:t xml:space="preserve">Alismataceae </w:t>
            </w:r>
          </w:p>
        </w:tc>
        <w:tc>
          <w:tcPr>
            <w:tcW w:w="314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Ross et al. (2016)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</w:trPr>
        <w:tc>
          <w:tcPr>
            <w:tcW w:w="266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i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i/>
                <w:color w:val="000000"/>
                <w:kern w:val="0"/>
                <w:sz w:val="20"/>
                <w:szCs w:val="20"/>
              </w:rPr>
              <w:t xml:space="preserve">Butomus umbellatus </w:t>
            </w:r>
          </w:p>
        </w:tc>
        <w:tc>
          <w:tcPr>
            <w:tcW w:w="2517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eastAsia="宋体" w:cs="Arial"/>
                <w:color w:val="0E101A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color w:val="0E101A"/>
                <w:sz w:val="20"/>
                <w:szCs w:val="20"/>
              </w:rPr>
              <w:t xml:space="preserve">Butomaceae </w:t>
            </w:r>
          </w:p>
        </w:tc>
        <w:tc>
          <w:tcPr>
            <w:tcW w:w="314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Arial" w:hAnsi="Arial" w:cs="Arial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Arial" w:hAnsi="Arial" w:cs="Arial"/>
                <w:color w:val="000000"/>
                <w:sz w:val="20"/>
                <w:szCs w:val="20"/>
              </w:rPr>
              <w:t>Ross et al. (2016)</w:t>
            </w:r>
          </w:p>
        </w:tc>
      </w:tr>
    </w:tbl>
    <w:p>
      <w:pPr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Table</w:t>
      </w:r>
      <w:r>
        <w:rPr>
          <w:rFonts w:hint="default"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S</w:t>
      </w:r>
      <w:r>
        <w:rPr>
          <w:rFonts w:hint="eastAsia" w:ascii="Arial" w:hAnsi="Arial" w:cs="Arial"/>
          <w:b/>
          <w:sz w:val="24"/>
          <w:szCs w:val="24"/>
          <w:lang w:val="en-US" w:eastAsia="zh-CN"/>
        </w:rPr>
        <w:t>2</w:t>
      </w:r>
      <w:bookmarkStart w:id="0" w:name="_GoBack"/>
      <w:bookmarkEnd w:id="0"/>
      <w:r>
        <w:rPr>
          <w:rFonts w:hint="default"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List of the species</w:t>
      </w:r>
      <w:r>
        <w:rPr>
          <w:rFonts w:hint="default" w:ascii="Arial" w:hAnsi="Arial" w:cs="Arial"/>
          <w:sz w:val="24"/>
          <w:szCs w:val="24"/>
        </w:rPr>
        <w:t xml:space="preserve"> downloaded from GenBank</w:t>
      </w:r>
      <w:r>
        <w:rPr>
          <w:rFonts w:ascii="Arial" w:hAnsi="Arial" w:cs="Arial"/>
          <w:sz w:val="24"/>
          <w:szCs w:val="24"/>
        </w:rPr>
        <w:t xml:space="preserve"> and </w:t>
      </w:r>
      <w:r>
        <w:rPr>
          <w:rFonts w:hint="default" w:ascii="Arial" w:hAnsi="Arial" w:cs="Arial"/>
          <w:sz w:val="24"/>
          <w:szCs w:val="24"/>
          <w:lang w:val="en-US" w:eastAsia="zh-CN"/>
        </w:rPr>
        <w:t xml:space="preserve">Ross et al. (2016) </w:t>
      </w:r>
      <w:r>
        <w:rPr>
          <w:rFonts w:ascii="Arial" w:hAnsi="Arial" w:cs="Arial"/>
          <w:sz w:val="24"/>
          <w:szCs w:val="24"/>
        </w:rPr>
        <w:t xml:space="preserve">used for phylogenomic </w:t>
      </w:r>
      <w:r>
        <w:rPr>
          <w:rFonts w:hint="default" w:ascii="Arial" w:hAnsi="Arial" w:cs="Arial"/>
          <w:sz w:val="24"/>
          <w:szCs w:val="24"/>
        </w:rPr>
        <w:t xml:space="preserve">and dating </w:t>
      </w:r>
      <w:r>
        <w:rPr>
          <w:rFonts w:ascii="Arial" w:hAnsi="Arial" w:cs="Arial"/>
          <w:sz w:val="24"/>
          <w:szCs w:val="24"/>
        </w:rPr>
        <w:t>analys</w:t>
      </w:r>
      <w:r>
        <w:rPr>
          <w:rFonts w:hint="default"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>s in this study</w:t>
      </w:r>
      <w:r>
        <w:rPr>
          <w:rFonts w:hint="default" w:ascii="Arial" w:hAnsi="Arial" w:cs="Arial"/>
          <w:sz w:val="24"/>
          <w:szCs w:val="24"/>
        </w:rPr>
        <w:t>.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148E7"/>
    <w:rsid w:val="0005699F"/>
    <w:rsid w:val="000B6631"/>
    <w:rsid w:val="003171BC"/>
    <w:rsid w:val="00381AAD"/>
    <w:rsid w:val="003F70F8"/>
    <w:rsid w:val="00426D90"/>
    <w:rsid w:val="00432F0C"/>
    <w:rsid w:val="00442F40"/>
    <w:rsid w:val="00452311"/>
    <w:rsid w:val="00752BC7"/>
    <w:rsid w:val="00892FC9"/>
    <w:rsid w:val="008C59ED"/>
    <w:rsid w:val="00911514"/>
    <w:rsid w:val="00AF3BCD"/>
    <w:rsid w:val="00AF7083"/>
    <w:rsid w:val="00B613FF"/>
    <w:rsid w:val="00BD23A6"/>
    <w:rsid w:val="00CD6603"/>
    <w:rsid w:val="00E22AAA"/>
    <w:rsid w:val="00E946EE"/>
    <w:rsid w:val="00F518F5"/>
    <w:rsid w:val="15AF2845"/>
    <w:rsid w:val="18067D58"/>
    <w:rsid w:val="31D307BB"/>
    <w:rsid w:val="458D36D8"/>
    <w:rsid w:val="4D5A764D"/>
    <w:rsid w:val="4FA00F6C"/>
    <w:rsid w:val="59E77AE7"/>
    <w:rsid w:val="71D148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iPriority w:val="0"/>
    <w:pPr>
      <w:spacing w:after="0" w:line="240" w:lineRule="auto"/>
    </w:pPr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7">
    <w:name w:val="Kopfzeile Zchn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Sprechblasentext Zchn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Fußzeile Zchn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433</Characters>
  <Lines>3</Lines>
  <Paragraphs>1</Paragraphs>
  <TotalTime>1</TotalTime>
  <ScaleCrop>false</ScaleCrop>
  <LinksUpToDate>false</LinksUpToDate>
  <CharactersWithSpaces>507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2020-12-15T23:12:00Z</dcterms:created>
  <dc:creator>Ottelia</dc:creator>
  <cp:lastModifiedBy>Ottelia</cp:lastModifiedBy>
  <dcterms:modified xsi:type="dcterms:W3CDTF">2021-09-30T00:57:42Z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3C292DA55C9B4DC29D990E2054EAFC1B</vt:lpwstr>
  </property>
</Properties>
</file>