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147EE">
      <w:pPr>
        <w:widowControl/>
        <w:spacing w:line="480" w:lineRule="auto"/>
        <w:jc w:val="left"/>
        <w:rPr>
          <w:rFonts w:hint="default" w:ascii="Times New Roman" w:hAnsi="Times New Roman"/>
          <w:i/>
          <w:sz w:val="22"/>
          <w:szCs w:val="24"/>
        </w:rPr>
      </w:pPr>
      <w:r>
        <w:rPr>
          <w:rFonts w:hint="default" w:ascii="Times New Roman" w:hAnsi="Times New Roman"/>
          <w:b/>
          <w:sz w:val="22"/>
          <w:szCs w:val="24"/>
        </w:rPr>
        <w:t xml:space="preserve">Supplementary Table 1. Baseline characteristics of FET cycles with </w:t>
      </w:r>
      <w:r>
        <w:rPr>
          <w:rFonts w:hint="eastAsia" w:ascii="Times New Roman" w:hAnsi="Times New Roman"/>
          <w:b/>
          <w:sz w:val="22"/>
          <w:szCs w:val="24"/>
          <w:lang w:val="en-US" w:eastAsia="zh-CN"/>
        </w:rPr>
        <w:t>n</w:t>
      </w:r>
      <w:bookmarkStart w:id="0" w:name="_GoBack"/>
      <w:bookmarkEnd w:id="0"/>
      <w:r>
        <w:rPr>
          <w:rFonts w:hint="default" w:ascii="Times New Roman" w:hAnsi="Times New Roman"/>
          <w:b/>
          <w:sz w:val="22"/>
          <w:szCs w:val="24"/>
        </w:rPr>
        <w:t>on</w:t>
      </w:r>
      <w:r>
        <w:rPr>
          <w:rFonts w:hint="eastAsia" w:ascii="Times New Roman" w:hAnsi="Times New Roman"/>
          <w:b/>
          <w:sz w:val="22"/>
          <w:szCs w:val="24"/>
        </w:rPr>
        <w:t>-</w:t>
      </w:r>
      <w:r>
        <w:rPr>
          <w:rFonts w:hint="default" w:ascii="Times New Roman" w:hAnsi="Times New Roman"/>
          <w:b/>
          <w:sz w:val="22"/>
          <w:szCs w:val="24"/>
        </w:rPr>
        <w:t>shifted WOI according to CsA treatment</w:t>
      </w:r>
    </w:p>
    <w:tbl>
      <w:tblPr>
        <w:tblStyle w:val="2"/>
        <w:tblW w:w="11057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1914"/>
        <w:gridCol w:w="1981"/>
        <w:gridCol w:w="1158"/>
        <w:gridCol w:w="1226"/>
      </w:tblGrid>
      <w:tr w14:paraId="08525D9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1A565557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Variable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7B636B58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59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7FC98A5E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Non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52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5B784B8D">
            <w:pPr>
              <w:widowControl/>
              <w:jc w:val="center"/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  <w:t xml:space="preserve">P 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value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3B8959E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SMD</w:t>
            </w: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</w:p>
        </w:tc>
      </w:tr>
      <w:tr w14:paraId="1EFB139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811764B">
            <w:pPr>
              <w:widowControl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Demographic characteristics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49EC22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89B302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FCC633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8F47D4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00205C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CC961F3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Age,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6CC0DA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32.19 ± 3.09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43F8FAE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31.67 ± 2.90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BEC29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0.33</w:t>
            </w:r>
            <w:r>
              <w:rPr>
                <w:rFonts w:hint="eastAsia"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19DCD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0.171</w:t>
            </w:r>
          </w:p>
        </w:tc>
      </w:tr>
      <w:tr w14:paraId="3066355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CF174D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BMI, mean± SD, kg/m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BC9590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21.94 ± 2.57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3930FBF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22.06 ± 2.17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EB6AB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0.801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3F569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0.048</w:t>
            </w:r>
          </w:p>
        </w:tc>
      </w:tr>
      <w:tr w14:paraId="734E701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29918D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Infertility-related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A673C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EA470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77168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FF0E5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4314DFF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1C7958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Infertility type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28383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F1E8B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C5247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F411DA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FB4085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F965A5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Primary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98D8FC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32 (54.2%)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0808771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18 (34.6%)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B380D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0.060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1AA18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0.277</w:t>
            </w:r>
          </w:p>
        </w:tc>
      </w:tr>
      <w:tr w14:paraId="05B9880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3872FA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Secondary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1A8CDC3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27 (45.8%)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5391DE0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34 (65.4%)</w:t>
            </w:r>
          </w:p>
        </w:tc>
        <w:tc>
          <w:tcPr>
            <w:tcW w:w="1158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41822C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6E8FBE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5787FC8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9D9C58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Duration of infertility,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A39838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4.31 ± 1.86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D983B4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4.12 ± 2.45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410E2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0.22</w:t>
            </w:r>
            <w:r>
              <w:rPr>
                <w:rFonts w:hint="eastAsia"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47C2C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0.087</w:t>
            </w:r>
          </w:p>
        </w:tc>
      </w:tr>
      <w:tr w14:paraId="029688B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954C7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Previous ET attempts,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012E5A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4.46 ± 1.30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FA4E82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4.52 ± 1.31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1AE550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</w:t>
            </w:r>
            <w:r>
              <w:rPr>
                <w:rFonts w:hint="eastAsia" w:ascii="Times New Roman" w:hAnsi="Times New Roman"/>
                <w:sz w:val="22"/>
                <w:szCs w:val="24"/>
              </w:rPr>
              <w:t>910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B3D05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0.047</w:t>
            </w:r>
          </w:p>
        </w:tc>
      </w:tr>
      <w:tr w14:paraId="7F199FD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A74BF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AMH, mean± SD, ng/mL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55B0E47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4.31 ± 2.98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6796A70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4.28 ± 2.65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2008C1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0.75</w:t>
            </w:r>
            <w:r>
              <w:rPr>
                <w:rFonts w:hint="eastAsia"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528942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0.011</w:t>
            </w:r>
          </w:p>
        </w:tc>
      </w:tr>
      <w:tr w14:paraId="3C741D6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C3C982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FET cycle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99C86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D02B1D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55363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AF1E1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3AC85E9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FDA62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FET protocols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27A1AE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2004E7B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9B9E7C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26A2372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32D9AD3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864A77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Natural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6447917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21 (35.6%)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178F24E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17 (32.7%)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35746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0.814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05F888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0.068</w:t>
            </w:r>
          </w:p>
        </w:tc>
      </w:tr>
      <w:tr w14:paraId="10F9228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90F0A4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HRT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2CE7C1B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16 (27.1%)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4E4AD60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17 (32.7%)</w:t>
            </w:r>
          </w:p>
        </w:tc>
        <w:tc>
          <w:tcPr>
            <w:tcW w:w="1158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59D8F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342056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16EBC0D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08C501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GnRHa-HRT protocols,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2182B0A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22 (37.3%)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bottom"/>
          </w:tcPr>
          <w:p w14:paraId="0CD45C6D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18 (34.6%)</w:t>
            </w:r>
          </w:p>
        </w:tc>
        <w:tc>
          <w:tcPr>
            <w:tcW w:w="1158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0568A6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19113F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3DFF5DA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C47CB59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Endometrial thickness, mean± SD, mm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4B0092B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9.01 ± 1.69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3B9DAA2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8.70 ± 1.46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52CCD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</w:t>
            </w:r>
            <w:r>
              <w:rPr>
                <w:rFonts w:hint="eastAsia" w:ascii="Times New Roman" w:hAnsi="Times New Roman"/>
                <w:sz w:val="22"/>
                <w:szCs w:val="24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F7AA8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0.198</w:t>
            </w:r>
          </w:p>
        </w:tc>
      </w:tr>
      <w:tr w14:paraId="2A8AD34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286A60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Embryo-transfer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B15A14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26EB0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044E1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DEF0E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2D625B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6C684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Types of embryos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312671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BE5C7A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ED22B83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3C8F4E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5C6140C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B56CC9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Cleavage stage,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3F67C21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14 (23.7%)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115B25E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9 (17.3%)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19B5B7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0.550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8A16A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0.091</w:t>
            </w:r>
          </w:p>
        </w:tc>
      </w:tr>
      <w:tr w14:paraId="679007E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5806628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Blastocyst,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61EE6AB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45 (76.3%)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04B866A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43 (82.7%)</w:t>
            </w:r>
          </w:p>
        </w:tc>
        <w:tc>
          <w:tcPr>
            <w:tcW w:w="1158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CD0309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62EE9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4DFC36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ED606FF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4DE44F6F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1.37 ± 0.49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319FA94F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1.33 ± 0.47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20874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0.61</w:t>
            </w:r>
            <w:r>
              <w:rPr>
                <w:rFonts w:hint="eastAsia"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26314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0.096</w:t>
            </w:r>
          </w:p>
        </w:tc>
      </w:tr>
      <w:tr w14:paraId="5E92E56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76E16CD8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Good-quality 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bottom"/>
          </w:tcPr>
          <w:p w14:paraId="0F77CF0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0.92 ± 0.60</w:t>
            </w:r>
          </w:p>
        </w:tc>
        <w:tc>
          <w:tcPr>
            <w:tcW w:w="198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bottom"/>
          </w:tcPr>
          <w:p w14:paraId="6950CC3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0.88 ± 0.68 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D7D31B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0.7</w:t>
            </w:r>
            <w:r>
              <w:rPr>
                <w:rFonts w:hint="eastAsia" w:ascii="Times New Roman" w:hAnsi="Times New Roman"/>
                <w:sz w:val="22"/>
                <w:szCs w:val="24"/>
              </w:rPr>
              <w:t>62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21C581A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0.048</w:t>
            </w:r>
          </w:p>
        </w:tc>
      </w:tr>
    </w:tbl>
    <w:p w14:paraId="67C5E71C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 xml:space="preserve">Values are presented at the FET-cycle level as mean ± SD or n (%). 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 xml:space="preserve"> values were calculated using appropriate tests for continuous and categorical variables. Absolute standardized mean differences (|SMDs|) were used to assess between-group balance. </w:t>
      </w:r>
    </w:p>
    <w:p w14:paraId="005A5582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default" w:ascii="Times New Roman" w:hAnsi="Times New Roman"/>
          <w:sz w:val="22"/>
          <w:szCs w:val="24"/>
        </w:rPr>
        <w:t>FET frozen embryo transfer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</w:t>
      </w:r>
      <w:r>
        <w:rPr>
          <w:rFonts w:hint="eastAsia" w:ascii="Times New Roman" w:hAnsi="Times New Roman"/>
          <w:sz w:val="22"/>
          <w:szCs w:val="24"/>
        </w:rPr>
        <w:t xml:space="preserve">WOI window of implantation, </w:t>
      </w:r>
      <w:r>
        <w:rPr>
          <w:rFonts w:hint="default" w:ascii="Times New Roman" w:hAnsi="Times New Roman"/>
          <w:sz w:val="22"/>
          <w:szCs w:val="24"/>
        </w:rPr>
        <w:t>CsA cyclosporine A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SD standard deviation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BMI body mass index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AMH anti-Müllerian hormone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HRT hormone replacement therapy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GnRHa gonadotropin-releasing hormone agonist</w:t>
      </w:r>
      <w:r>
        <w:rPr>
          <w:rFonts w:hint="eastAsia" w:ascii="Times New Roman" w:hAnsi="Times New Roman"/>
          <w:sz w:val="22"/>
          <w:szCs w:val="24"/>
        </w:rPr>
        <w:t>.</w:t>
      </w:r>
    </w:p>
    <w:p w14:paraId="48B8014E">
      <w:pPr>
        <w:widowControl/>
        <w:spacing w:line="480" w:lineRule="auto"/>
        <w:jc w:val="left"/>
        <w:rPr>
          <w:rFonts w:hint="default" w:ascii="Times New Roman" w:hAnsi="Times New Roman"/>
          <w:b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&lt;0.05; 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&lt;0.01; ***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&lt;0.001.</w:t>
      </w:r>
      <w:r>
        <w:rPr>
          <w:rFonts w:hint="default" w:ascii="Times New Roman" w:hAnsi="Times New Roman"/>
          <w:b/>
          <w:sz w:val="22"/>
          <w:szCs w:val="24"/>
        </w:rPr>
        <w:br w:type="page"/>
      </w:r>
    </w:p>
    <w:p w14:paraId="40259DFF">
      <w:pPr>
        <w:widowControl/>
        <w:spacing w:line="480" w:lineRule="auto"/>
        <w:jc w:val="left"/>
        <w:rPr>
          <w:rFonts w:hint="default" w:ascii="Times New Roman" w:hAnsi="Times New Roman"/>
          <w:i/>
          <w:sz w:val="22"/>
          <w:szCs w:val="24"/>
        </w:rPr>
      </w:pPr>
      <w:r>
        <w:rPr>
          <w:rFonts w:hint="default" w:ascii="Times New Roman" w:hAnsi="Times New Roman"/>
          <w:b/>
          <w:sz w:val="22"/>
          <w:szCs w:val="24"/>
        </w:rPr>
        <w:t xml:space="preserve">Supplementary Table </w:t>
      </w:r>
      <w:r>
        <w:rPr>
          <w:rFonts w:hint="eastAsia" w:ascii="Times New Roman" w:hAnsi="Times New Roman"/>
          <w:b/>
          <w:sz w:val="22"/>
          <w:szCs w:val="24"/>
        </w:rPr>
        <w:t>2</w:t>
      </w:r>
      <w:r>
        <w:rPr>
          <w:rFonts w:hint="default" w:ascii="Times New Roman" w:hAnsi="Times New Roman"/>
          <w:b/>
          <w:sz w:val="22"/>
          <w:szCs w:val="24"/>
        </w:rPr>
        <w:t>. Baseline characteristics of FET cycles with shifted WOI according to CsA treatment</w:t>
      </w:r>
    </w:p>
    <w:tbl>
      <w:tblPr>
        <w:tblStyle w:val="2"/>
        <w:tblW w:w="11057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1914"/>
        <w:gridCol w:w="2003"/>
        <w:gridCol w:w="1136"/>
        <w:gridCol w:w="1226"/>
      </w:tblGrid>
      <w:tr w14:paraId="55C15DB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2C8F9479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Variable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695F0620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74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47296F88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Non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35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62E833A8">
            <w:pPr>
              <w:widowControl/>
              <w:jc w:val="center"/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  <w:t xml:space="preserve">P 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value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728A55B2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SMD</w:t>
            </w: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</w:p>
        </w:tc>
      </w:tr>
      <w:tr w14:paraId="2D6E189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316D42">
            <w:pPr>
              <w:widowControl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Demographic characteristics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6A9CE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3615F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4C522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147207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29A7D89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AD3808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Age,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FEAA75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31.47 ± 3.65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09BAC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31.37 ± 3.14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03AE94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0.882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CE29F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0.03</w:t>
            </w:r>
            <w:r>
              <w:rPr>
                <w:rFonts w:hint="eastAsia" w:ascii="Times New Roman" w:hAnsi="Times New Roman"/>
                <w:sz w:val="22"/>
                <w:szCs w:val="24"/>
              </w:rPr>
              <w:t>0</w:t>
            </w:r>
          </w:p>
        </w:tc>
      </w:tr>
      <w:tr w14:paraId="225399C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26C07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BMI, mean± SD, kg/m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E541A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21.75 ± 2.95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9B02B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22.70 ± 3.04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A50F48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0.140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4042E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0.318</w:t>
            </w:r>
          </w:p>
        </w:tc>
      </w:tr>
      <w:tr w14:paraId="7CD3570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035CFDE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Infertility-related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A07A7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A6F358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434F1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09791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18C46C3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A146189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Infertility type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3521E6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E615E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96DDDD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0CFBE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38FFFD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A6F6A5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Primary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A3934A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32 (43.2%)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D62454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18 (51.4%)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4CD83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0.552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E7914B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0.116</w:t>
            </w:r>
          </w:p>
        </w:tc>
      </w:tr>
      <w:tr w14:paraId="2AE8FFD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F91C12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Secondary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C97BD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42 (56.8%)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58FA6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17 (48.6%)</w:t>
            </w:r>
          </w:p>
        </w:tc>
        <w:tc>
          <w:tcPr>
            <w:tcW w:w="113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AE565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E14F1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0EBCDC7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93981A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Duration of infertility,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9B742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4.15 ± 2.44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05B6E8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4.26 ± 1.98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212A7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0.550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1BD480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0.049</w:t>
            </w:r>
          </w:p>
        </w:tc>
      </w:tr>
      <w:tr w14:paraId="3581D50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ADAE3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Previous ET attempts,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F80F9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4.36 ± 1.19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9A7A5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4.51 ± 1.31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D9D16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0.657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821108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0.119</w:t>
            </w:r>
          </w:p>
        </w:tc>
      </w:tr>
      <w:tr w14:paraId="4668795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B34D444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AMH, mean± SD, ng/mL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52B91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4.11 ± 2.13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2FEA2A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5.65 ± 3.89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1223D4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0.062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BCE4D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0.491</w:t>
            </w:r>
          </w:p>
        </w:tc>
      </w:tr>
      <w:tr w14:paraId="6D7E49D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FE70BF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FET cycle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F72EEA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4B08D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CC56D4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13F37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DC0A52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E4190C9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FET protocols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9315DE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E29D0BE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3F9F0A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8758A8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57972E5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A183E4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Natural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E98560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13 (17.6%)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C42A8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10 (28.6%)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CC50D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0.301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8ADDD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0.164</w:t>
            </w:r>
          </w:p>
        </w:tc>
      </w:tr>
      <w:tr w14:paraId="21D066B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989DD2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HRT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E55C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33 (44.6%)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981B4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16 (45.7%)</w:t>
            </w:r>
          </w:p>
        </w:tc>
        <w:tc>
          <w:tcPr>
            <w:tcW w:w="113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D94A8E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423B58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42BA211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81FFD96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GnRHa-HRT protocols,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F7B979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28 (37.8%)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0A1FC9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9 (25.7%)</w:t>
            </w:r>
          </w:p>
        </w:tc>
        <w:tc>
          <w:tcPr>
            <w:tcW w:w="113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34697F9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A707AA4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28A3870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54B4A2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Endometrial thickness, mean± SD, mm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86841F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8.73 ± 1.27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873EA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8.31 ± 1.29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525AF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0.077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88AEB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0.332</w:t>
            </w:r>
          </w:p>
        </w:tc>
      </w:tr>
      <w:tr w14:paraId="30E0405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27591E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Embryo-transfer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411EFC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1C8C6A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184C6A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66C9AD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2B25D13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2647E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Types of embryos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7A58F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071B7A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FA703B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91F615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3228FEA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836814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Cleavage stage,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404617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15 (20.3%)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96F289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7 (20.0%)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185C03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1.000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C9E215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0.004</w:t>
            </w:r>
          </w:p>
        </w:tc>
      </w:tr>
      <w:tr w14:paraId="50ECC5D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DAF158F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Blastocyst,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4C817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59 (79.7%)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DFA83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28 (80.0%)</w:t>
            </w:r>
          </w:p>
        </w:tc>
        <w:tc>
          <w:tcPr>
            <w:tcW w:w="113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5D07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2FA7E2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5B4A3A7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2CC72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FEDD29C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1.28 ± 0.45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05623C6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1.20 ± 0.41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52A5CC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0.35</w:t>
            </w:r>
            <w:r>
              <w:rPr>
                <w:rFonts w:hint="eastAsia"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E4AC9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0.195</w:t>
            </w:r>
          </w:p>
        </w:tc>
      </w:tr>
      <w:tr w14:paraId="47ED59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3F5E348C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Good-quality 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F16273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0.82 ± 0.58 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8F4085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0.94 ± 0.48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E25EDA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0.26</w:t>
            </w:r>
            <w:r>
              <w:rPr>
                <w:rFonts w:hint="eastAsia"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49A262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0.222</w:t>
            </w:r>
          </w:p>
        </w:tc>
      </w:tr>
    </w:tbl>
    <w:p w14:paraId="76E18B41">
      <w:pPr>
        <w:spacing w:beforeLines="0" w:afterLines="0" w:line="480" w:lineRule="auto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 xml:space="preserve">Values are presented at the FET-cycle level as mean ± SD or n (%). 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 xml:space="preserve"> values were calculated using appropriate tests for continuous and categorical variables. Absolute standardized mean differences (|SMDs|) were used to assess between-group balance.</w:t>
      </w:r>
    </w:p>
    <w:p w14:paraId="2E996D4F">
      <w:pPr>
        <w:spacing w:beforeLines="0" w:afterLines="0" w:line="480" w:lineRule="auto"/>
        <w:rPr>
          <w:rFonts w:hint="eastAsia" w:ascii="Times New Roman" w:hAnsi="Times New Roman"/>
          <w:sz w:val="22"/>
          <w:szCs w:val="24"/>
        </w:rPr>
      </w:pPr>
      <w:r>
        <w:rPr>
          <w:rFonts w:hint="default" w:ascii="Times New Roman" w:hAnsi="Times New Roman"/>
          <w:sz w:val="22"/>
          <w:szCs w:val="24"/>
        </w:rPr>
        <w:t>FET frozen embryo transfer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</w:t>
      </w:r>
      <w:r>
        <w:rPr>
          <w:rFonts w:hint="eastAsia" w:ascii="Times New Roman" w:hAnsi="Times New Roman"/>
          <w:sz w:val="22"/>
          <w:szCs w:val="24"/>
        </w:rPr>
        <w:t xml:space="preserve">WOI window of implantation, </w:t>
      </w:r>
      <w:r>
        <w:rPr>
          <w:rFonts w:hint="default" w:ascii="Times New Roman" w:hAnsi="Times New Roman"/>
          <w:sz w:val="22"/>
          <w:szCs w:val="24"/>
        </w:rPr>
        <w:t>CsA cyclosporine A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SD standard deviation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BMI body mass index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AMH anti-Müllerian hormone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HRT hormone replacement therapy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GnRHa gonadotropin-releasing hormone agonist</w:t>
      </w:r>
      <w:r>
        <w:rPr>
          <w:rFonts w:hint="eastAsia" w:ascii="Times New Roman" w:hAnsi="Times New Roman"/>
          <w:sz w:val="22"/>
          <w:szCs w:val="24"/>
        </w:rPr>
        <w:t>.</w:t>
      </w:r>
    </w:p>
    <w:p w14:paraId="740D3F5A">
      <w:pPr>
        <w:widowControl/>
        <w:spacing w:line="480" w:lineRule="auto"/>
        <w:jc w:val="left"/>
        <w:rPr>
          <w:rFonts w:hint="default" w:ascii="Times New Roman" w:hAnsi="Times New Roman"/>
          <w:b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&lt;0.05; 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&lt;0.01; ***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&lt;0.001.</w:t>
      </w:r>
      <w:r>
        <w:rPr>
          <w:rFonts w:hint="default" w:ascii="Times New Roman" w:hAnsi="Times New Roman"/>
          <w:b/>
          <w:sz w:val="22"/>
          <w:szCs w:val="24"/>
        </w:rPr>
        <w:br w:type="page"/>
      </w:r>
    </w:p>
    <w:p w14:paraId="7002FA54">
      <w:pPr>
        <w:widowControl/>
        <w:spacing w:line="480" w:lineRule="auto"/>
        <w:jc w:val="left"/>
        <w:rPr>
          <w:rFonts w:hint="default" w:ascii="Times New Roman" w:hAnsi="Times New Roman"/>
          <w:sz w:val="22"/>
          <w:szCs w:val="24"/>
        </w:rPr>
      </w:pPr>
      <w:r>
        <w:rPr>
          <w:rFonts w:hint="default" w:ascii="Times New Roman" w:hAnsi="Times New Roman"/>
          <w:b/>
          <w:sz w:val="22"/>
          <w:szCs w:val="24"/>
        </w:rPr>
        <w:t xml:space="preserve">Supplementary Table </w:t>
      </w:r>
      <w:r>
        <w:rPr>
          <w:rFonts w:hint="eastAsia" w:ascii="Times New Roman" w:hAnsi="Times New Roman"/>
          <w:b/>
          <w:sz w:val="22"/>
          <w:szCs w:val="24"/>
        </w:rPr>
        <w:t>3</w:t>
      </w:r>
      <w:r>
        <w:rPr>
          <w:rFonts w:hint="default" w:ascii="Times New Roman" w:hAnsi="Times New Roman"/>
          <w:b/>
          <w:sz w:val="22"/>
          <w:szCs w:val="24"/>
        </w:rPr>
        <w:t xml:space="preserve">. Baseline characteristics of </w:t>
      </w:r>
      <w:r>
        <w:rPr>
          <w:rFonts w:hint="eastAsia" w:ascii="Times New Roman" w:hAnsi="Times New Roman"/>
          <w:b/>
          <w:sz w:val="22"/>
          <w:szCs w:val="24"/>
        </w:rPr>
        <w:t>n</w:t>
      </w:r>
      <w:r>
        <w:rPr>
          <w:rFonts w:hint="default" w:ascii="Times New Roman" w:hAnsi="Times New Roman"/>
          <w:b/>
          <w:sz w:val="22"/>
          <w:szCs w:val="24"/>
        </w:rPr>
        <w:t>on</w:t>
      </w:r>
      <w:r>
        <w:rPr>
          <w:rFonts w:hint="eastAsia" w:ascii="Times New Roman" w:hAnsi="Times New Roman"/>
          <w:b/>
          <w:sz w:val="22"/>
          <w:szCs w:val="24"/>
        </w:rPr>
        <w:t>-</w:t>
      </w:r>
      <w:r>
        <w:rPr>
          <w:rFonts w:hint="default" w:ascii="Times New Roman" w:hAnsi="Times New Roman"/>
          <w:b/>
          <w:sz w:val="22"/>
          <w:szCs w:val="24"/>
        </w:rPr>
        <w:t>WOI-tested FET cycles according to CsA treatment</w:t>
      </w:r>
    </w:p>
    <w:tbl>
      <w:tblPr>
        <w:tblStyle w:val="2"/>
        <w:tblW w:w="11057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1914"/>
        <w:gridCol w:w="2048"/>
        <w:gridCol w:w="1091"/>
        <w:gridCol w:w="1226"/>
      </w:tblGrid>
      <w:tr w14:paraId="08E60F8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6FF0ABEF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Variable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7FF79547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220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25890684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Non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CsA-treated (n=</w:t>
            </w:r>
            <w:r>
              <w:rPr>
                <w:rFonts w:hint="eastAsia" w:ascii="Times New Roman" w:hAnsi="Times New Roman" w:eastAsia="宋体"/>
                <w:b/>
                <w:kern w:val="0"/>
                <w:sz w:val="22"/>
                <w:szCs w:val="24"/>
              </w:rPr>
              <w:t>469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)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1FE7B0C0">
            <w:pPr>
              <w:widowControl/>
              <w:jc w:val="center"/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i/>
                <w:kern w:val="0"/>
                <w:sz w:val="22"/>
                <w:szCs w:val="24"/>
              </w:rPr>
              <w:t xml:space="preserve">P 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value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0CBDDC30">
            <w:pPr>
              <w:widowControl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SMD</w:t>
            </w:r>
            <w:r>
              <w:rPr>
                <w:rFonts w:hint="default" w:ascii="Cambria Math" w:hAnsi="Cambria Math" w:eastAsia="宋体" w:cs="Cambria Math"/>
                <w:b/>
                <w:kern w:val="0"/>
                <w:sz w:val="22"/>
                <w:szCs w:val="24"/>
              </w:rPr>
              <w:t>∣</w:t>
            </w:r>
          </w:p>
        </w:tc>
      </w:tr>
      <w:tr w14:paraId="39DC282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AB0CC18">
            <w:pPr>
              <w:widowControl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Demographic characteristics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753AE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3598B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E3E95F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45F1E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30863A3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EC6B8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Age,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C2D59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31.86 ± 3.49 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3330A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32.64 ± 3.75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C061BE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0.009**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19BE28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0.216</w:t>
            </w:r>
          </w:p>
        </w:tc>
      </w:tr>
      <w:tr w14:paraId="1D286C0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BE3A15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BMI, mean± SD, kg/m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17143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22.45 ± 2.70 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B1B47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22.25 ± 2.79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A767F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0.345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2DA39C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0.071</w:t>
            </w:r>
          </w:p>
        </w:tc>
      </w:tr>
      <w:tr w14:paraId="37DC9F2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7A22D0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Infertility-related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30B56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B1436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A3617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5DD0A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43CB450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56FAC9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Infertility type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4B263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150AAF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FB069B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27F9AD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401098E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073B794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Primary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23D339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98 (44.5%)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7DA3F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203 (43.3%)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982354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0.819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8D0FF9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0.018</w:t>
            </w:r>
          </w:p>
        </w:tc>
      </w:tr>
      <w:tr w14:paraId="15FA89B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68003A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Secondary infertility,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D0BD09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122 (55.5%)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5085AB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266 (56.7%)</w:t>
            </w: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B4A3E6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EE5D12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311C98D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D60E5E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Duration of infertility, mean± SD, y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039AC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4.06 ± 2.51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12287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4.08 ± 2.58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958D6F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0.975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8C3949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0.009</w:t>
            </w:r>
          </w:p>
        </w:tc>
      </w:tr>
      <w:tr w14:paraId="3021009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BE6F78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Previous ET attempts,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D9549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3.58 ± 0.80 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42E55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3.42 ± 0.71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7F524B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0.003**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A4F1E8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0.208</w:t>
            </w:r>
          </w:p>
        </w:tc>
      </w:tr>
      <w:tr w14:paraId="59704DA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D4146E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AMH, mean± SD, ng/mL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FA0E2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4.68 ± 3.63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9AF1EC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4.61 ± 3.55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52BBE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0.804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D8A7C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0.019</w:t>
            </w:r>
          </w:p>
        </w:tc>
      </w:tr>
      <w:tr w14:paraId="1BB958C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520103F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FET cycle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DF632F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B3959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5D4A65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F11069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401126E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AE1D42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FET protocols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7427980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661379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FD43B73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AE915DC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4347428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D7CB57C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Natural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CB7017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46 (20.9%)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4B0D9B1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89 (19.0%)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23C08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0.041*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B6DFC1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0.13</w:t>
            </w:r>
            <w:r>
              <w:rPr>
                <w:rFonts w:hint="eastAsia" w:ascii="Times New Roman" w:hAnsi="Times New Roman"/>
                <w:sz w:val="22"/>
                <w:szCs w:val="24"/>
              </w:rPr>
              <w:t>0</w:t>
            </w:r>
          </w:p>
        </w:tc>
      </w:tr>
      <w:tr w14:paraId="4DF5DB1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86B883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HRT cycles,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8907B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90 (40.9%)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981F6C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154 (32.8%)</w:t>
            </w: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1D193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C2E99D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62104FB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BEED5C2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GnRHa-HRT protocols,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1AF1D6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84 (38.2%)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1971837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226 (48.2%)</w:t>
            </w: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DEEAE7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B393646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47AC0BA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E8A01EE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Endometrial thickness, mean± SD, mm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60D7D5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8.86 ± 1.19 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6DFC6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8.67 ± 1.23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F9F0B9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0.016*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284A62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0.151</w:t>
            </w:r>
          </w:p>
        </w:tc>
      </w:tr>
      <w:tr w14:paraId="7604DC8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A5739CC">
            <w:pPr>
              <w:widowControl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  <w:t>Embryo-transfer characteristics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7C294D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3D408DD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7681E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69D81FF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542E8D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8153626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Types of embryos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55136C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EB8F38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F58504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1F20C84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2"/>
                <w:szCs w:val="24"/>
              </w:rPr>
            </w:pPr>
          </w:p>
        </w:tc>
      </w:tr>
      <w:tr w14:paraId="2B53E67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9EC542B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Cleavage stage,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DA7733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40 (18.2%)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65CFBD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88 (18.8%)</w:t>
            </w: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4A312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0.938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D7AB62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0.008</w:t>
            </w:r>
          </w:p>
        </w:tc>
      </w:tr>
      <w:tr w14:paraId="0F98797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03A99A4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2"/>
                <w:szCs w:val="24"/>
              </w:rPr>
              <w:t>-</w:t>
            </w: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Blastocyst, n (%)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BF5A6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180 (81.8%)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725EC31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381 (81.2%)</w:t>
            </w: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E47CC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B67B24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</w:p>
        </w:tc>
      </w:tr>
      <w:tr w14:paraId="72A88CD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A204FA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F5612C9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1.28 ± 0.45 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0D92954">
            <w:pPr>
              <w:widowControl/>
              <w:jc w:val="center"/>
              <w:rPr>
                <w:rFonts w:hint="default" w:ascii="Times New Roman" w:hAnsi="Times New Roman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1.27 ± 0.44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35E61A7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0.718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C4E2BF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0.029</w:t>
            </w:r>
          </w:p>
        </w:tc>
      </w:tr>
      <w:tr w14:paraId="331BADC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77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57EA5CBF"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  <w:t>Good-quality embryos transferred, mean± SD, n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68010C5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0.85 ± 0.65 </w:t>
            </w:r>
          </w:p>
        </w:tc>
        <w:tc>
          <w:tcPr>
            <w:tcW w:w="204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231457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 xml:space="preserve">0.88 ± 0.63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EA8126A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0.512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2E9DAE6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/>
                <w:sz w:val="22"/>
                <w:szCs w:val="24"/>
              </w:rPr>
              <w:t>0.051</w:t>
            </w:r>
          </w:p>
        </w:tc>
      </w:tr>
    </w:tbl>
    <w:p w14:paraId="54B8584D">
      <w:pPr>
        <w:spacing w:beforeLines="0" w:afterLines="0" w:line="480" w:lineRule="auto"/>
        <w:rPr>
          <w:rFonts w:hint="default" w:ascii="Times New Roman" w:hAnsi="Times New Roman"/>
          <w:sz w:val="22"/>
          <w:szCs w:val="24"/>
        </w:rPr>
      </w:pPr>
      <w:r>
        <w:rPr>
          <w:rFonts w:hint="default" w:ascii="Times New Roman" w:hAnsi="Times New Roman"/>
          <w:sz w:val="22"/>
          <w:szCs w:val="24"/>
        </w:rPr>
        <w:t xml:space="preserve">Values are presented at the FET-cycle level as mean ± SD or n (%). P values were calculated using appropriate tests for continuous and categorical variables. Absolute standardized mean differences (|SMDs|) were used to assess between-group balance. </w:t>
      </w:r>
    </w:p>
    <w:p w14:paraId="0A9EC40E">
      <w:pPr>
        <w:spacing w:beforeLines="0" w:afterLines="0" w:line="480" w:lineRule="auto"/>
        <w:rPr>
          <w:rFonts w:hint="eastAsia" w:ascii="Times New Roman" w:hAnsi="Times New Roman"/>
          <w:sz w:val="22"/>
          <w:szCs w:val="24"/>
        </w:rPr>
      </w:pPr>
      <w:r>
        <w:rPr>
          <w:rFonts w:hint="default" w:ascii="Times New Roman" w:hAnsi="Times New Roman"/>
          <w:sz w:val="22"/>
          <w:szCs w:val="24"/>
        </w:rPr>
        <w:t>FET frozen embryo transfer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</w:t>
      </w:r>
      <w:r>
        <w:rPr>
          <w:rFonts w:hint="eastAsia" w:ascii="Times New Roman" w:hAnsi="Times New Roman"/>
          <w:sz w:val="22"/>
          <w:szCs w:val="24"/>
        </w:rPr>
        <w:t xml:space="preserve">WOI window of implantation, </w:t>
      </w:r>
      <w:r>
        <w:rPr>
          <w:rFonts w:hint="default" w:ascii="Times New Roman" w:hAnsi="Times New Roman"/>
          <w:sz w:val="22"/>
          <w:szCs w:val="24"/>
        </w:rPr>
        <w:t>CsA cyclosporine A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SD standard deviation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BMI body mass index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AMH anti-Müllerian hormone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HRT hormone replacement therapy</w:t>
      </w:r>
      <w:r>
        <w:rPr>
          <w:rFonts w:hint="eastAsia" w:ascii="Times New Roman" w:hAnsi="Times New Roman"/>
          <w:sz w:val="22"/>
          <w:szCs w:val="24"/>
        </w:rPr>
        <w:t>,</w:t>
      </w:r>
      <w:r>
        <w:rPr>
          <w:rFonts w:hint="default" w:ascii="Times New Roman" w:hAnsi="Times New Roman"/>
          <w:sz w:val="22"/>
          <w:szCs w:val="24"/>
        </w:rPr>
        <w:t xml:space="preserve"> GnRHa gonadotropin-releasing hormone agonist</w:t>
      </w:r>
      <w:r>
        <w:rPr>
          <w:rFonts w:hint="eastAsia" w:ascii="Times New Roman" w:hAnsi="Times New Roman"/>
          <w:sz w:val="22"/>
          <w:szCs w:val="24"/>
        </w:rPr>
        <w:t>.</w:t>
      </w:r>
    </w:p>
    <w:p w14:paraId="742F1E68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&lt;0.05; 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&lt;0.01; ***</w:t>
      </w:r>
      <w:r>
        <w:rPr>
          <w:rFonts w:hint="eastAsia" w:ascii="Times New Roman" w:hAnsi="Times New Roman"/>
          <w:i/>
          <w:sz w:val="22"/>
          <w:szCs w:val="24"/>
        </w:rPr>
        <w:t>P</w:t>
      </w:r>
      <w:r>
        <w:rPr>
          <w:rFonts w:hint="eastAsia" w:ascii="Times New Roman" w:hAnsi="Times New Roman"/>
          <w:sz w:val="22"/>
          <w:szCs w:val="24"/>
        </w:rPr>
        <w:t>&lt;0.001.</w:t>
      </w:r>
    </w:p>
    <w:p w14:paraId="7D079360">
      <w:pPr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br w:type="page"/>
      </w:r>
    </w:p>
    <w:p w14:paraId="629E2C64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b/>
          <w:sz w:val="22"/>
          <w:szCs w:val="24"/>
        </w:rPr>
        <w:t>Supplementary Table 4. Assessment of multicollinearity among covariates included in the adjusted models</w:t>
      </w:r>
    </w:p>
    <w:tbl>
      <w:tblPr>
        <w:tblStyle w:val="2"/>
        <w:tblW w:w="9831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4"/>
        <w:gridCol w:w="1701"/>
        <w:gridCol w:w="2126"/>
        <w:gridCol w:w="1980"/>
      </w:tblGrid>
      <w:tr w14:paraId="46387EC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78F8E22A"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sz w:val="21"/>
                <w:szCs w:val="24"/>
              </w:rPr>
              <w:t>Covariate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679DC76B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sz w:val="21"/>
                <w:szCs w:val="24"/>
              </w:rPr>
              <w:t>Df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1AE235B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b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b/>
                <w:sz w:val="21"/>
                <w:szCs w:val="24"/>
              </w:rPr>
              <w:t>IR model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2F5C3734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b/>
                <w:i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1"/>
                <w:szCs w:val="24"/>
              </w:rPr>
              <w:t>CPR LBR</w:t>
            </w:r>
            <w:r>
              <w:rPr>
                <w:rFonts w:hint="default" w:ascii="Times New Roman" w:hAnsi="Times New Roman" w:eastAsia="宋体"/>
                <w:b/>
                <w:sz w:val="21"/>
                <w:szCs w:val="24"/>
              </w:rPr>
              <w:t xml:space="preserve"> models</w:t>
            </w:r>
          </w:p>
        </w:tc>
      </w:tr>
      <w:tr w14:paraId="3B8DBEC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E34ED01"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Maternal age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170B48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E4AAFA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1.124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91A329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1.125</w:t>
            </w:r>
          </w:p>
        </w:tc>
      </w:tr>
      <w:tr w14:paraId="66284DF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347442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F9D39A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C2FDBFB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175A03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1.017</w:t>
            </w:r>
          </w:p>
        </w:tc>
      </w:tr>
      <w:tr w14:paraId="61747C8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5C85F9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AMH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118A5B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AFD0390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2ABA32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1.086</w:t>
            </w:r>
          </w:p>
        </w:tc>
      </w:tr>
      <w:tr w14:paraId="500A9EF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E00341"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宋体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Infertility type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AE9DF13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DD4C0E2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28A287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1.087</w:t>
            </w:r>
          </w:p>
        </w:tc>
      </w:tr>
      <w:tr w14:paraId="2358079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87CF670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Duration of infertility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8C51A4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97F6C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A41C6A3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1.057</w:t>
            </w:r>
          </w:p>
        </w:tc>
      </w:tr>
      <w:tr w14:paraId="60F9D0E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9EF35E">
            <w:pPr>
              <w:widowControl/>
              <w:spacing w:beforeLines="0" w:afterLines="0"/>
              <w:ind w:firstLine="420" w:firstLineChars="2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Previous ET attempts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4E254EC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598639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08A9EF3">
            <w:pPr>
              <w:widowControl/>
              <w:spacing w:beforeLines="0" w:afterLines="0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1.036</w:t>
            </w:r>
          </w:p>
        </w:tc>
      </w:tr>
      <w:tr w14:paraId="1A31F66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710D8C7">
            <w:pPr>
              <w:widowControl/>
              <w:spacing w:beforeLines="0" w:afterLines="0"/>
              <w:ind w:firstLine="420" w:firstLineChars="2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FET protocols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E7B12C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FC9B881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7C1F16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1.007</w:t>
            </w:r>
          </w:p>
        </w:tc>
      </w:tr>
      <w:tr w14:paraId="137015A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E61BD9C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Endometrial thickness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806C3F7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56E3F0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5B0C660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1.022</w:t>
            </w:r>
          </w:p>
        </w:tc>
      </w:tr>
      <w:tr w14:paraId="56C2E2F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76BE6F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Types of embryos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E4CF7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6DFFBC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A1354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1.060</w:t>
            </w:r>
          </w:p>
        </w:tc>
      </w:tr>
      <w:tr w14:paraId="402315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BA39C7">
            <w:pPr>
              <w:widowControl/>
              <w:spacing w:beforeLines="0" w:afterLines="0"/>
              <w:ind w:firstLine="21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Embryos transferred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66F795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EE7C1E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—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85E92D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1.175</w:t>
            </w:r>
          </w:p>
        </w:tc>
      </w:tr>
      <w:tr w14:paraId="4BD3384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02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FC21E88"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宋体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Good-quality embryos transferred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492EC36D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2ED607FC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1.044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 w14:paraId="462AC2FF"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宋体"/>
                <w:sz w:val="21"/>
                <w:szCs w:val="24"/>
              </w:rPr>
              <w:t>1.186</w:t>
            </w:r>
          </w:p>
        </w:tc>
      </w:tr>
    </w:tbl>
    <w:p w14:paraId="239BC86B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 xml:space="preserve">Values are presented as VIF or adjusted GVIF [GVIF </w:t>
      </w:r>
      <w:r>
        <w:rPr>
          <w:rFonts w:hint="eastAsia" w:ascii="Times New Roman" w:hAnsi="Times New Roman"/>
          <w:sz w:val="22"/>
          <w:szCs w:val="24"/>
          <w:vertAlign w:val="superscript"/>
        </w:rPr>
        <w:t>1/(2×Df)</w:t>
      </w:r>
      <w:r>
        <w:rPr>
          <w:rFonts w:hint="eastAsia" w:ascii="Times New Roman" w:hAnsi="Times New Roman"/>
          <w:sz w:val="22"/>
          <w:szCs w:val="24"/>
        </w:rPr>
        <w:t>]. Multicollinearity among covariates in the adjusted GEE models was assessed using variance inflation factors; infertility type, FET protocol, and embryo type were treated as categorical variables. In the IR model, embryos transferred was included as an offset and therefore not assessed; in the binary outcome models, embryos transferred was included as a covariate. “—” indicates not included in that model.</w:t>
      </w:r>
    </w:p>
    <w:p w14:paraId="009A735D">
      <w:pPr>
        <w:widowControl/>
        <w:spacing w:line="480" w:lineRule="auto"/>
        <w:jc w:val="left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Df degrees of freedom, IR implantation rate, CPR clinical pregnancy rate, LBR live birth rate, BMI body mass index, AMH, anti-Müllerian hormone, FET frozen embryo transfer.</w:t>
      </w:r>
    </w:p>
    <w:p w14:paraId="25905FA3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BDC742F"/>
    <w:rsid w:val="619B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994</Words>
  <Characters>5382</Characters>
  <Lines>0</Lines>
  <Paragraphs>0</Paragraphs>
  <TotalTime>1</TotalTime>
  <ScaleCrop>false</ScaleCrop>
  <LinksUpToDate>false</LinksUpToDate>
  <CharactersWithSpaces>6111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2026-06-29T06:57:00Z</dcterms:created>
  <dc:creator>朱蕊</dc:creator>
  <cp:lastModifiedBy>朱蕊</cp:lastModifiedBy>
  <dcterms:modified xsi:type="dcterms:W3CDTF">2026-06-30T00:41:43Z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BD8F023A73354808AC0EECA07164F091_11</vt:lpwstr>
  </property>
  <property fmtid="{D5CDD505-2E9C-101B-9397-08002B2CF9AE}" pid="4" name="KSOTemplateDocerSaveRecord">
    <vt:lpwstr>eyJoZGlkIjoiMGVmZTUzOWY3YjQ4YzZlYThjNmRlYjUyYWM5ZDA3M2QiLCJ1c2VySWQiOiIyODAzMDk5MjkifQ==</vt:lpwstr>
  </property>
</Properties>
</file>