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1626" w14:textId="77777777" w:rsidR="00F00094" w:rsidRPr="00A354A9" w:rsidRDefault="00F00094" w:rsidP="00F00094">
      <w:pPr>
        <w:spacing w:line="240" w:lineRule="auto"/>
        <w:ind w:firstLine="0"/>
        <w:rPr>
          <w:noProof/>
        </w:rPr>
      </w:pPr>
      <w:r w:rsidRPr="005B4281">
        <w:rPr>
          <w:rStyle w:val="Strong"/>
          <w:rFonts w:eastAsiaTheme="majorEastAsia"/>
          <w:noProof/>
        </w:rPr>
        <w:t>Supplementary Table S</w:t>
      </w:r>
      <w:r>
        <w:rPr>
          <w:rStyle w:val="Strong"/>
          <w:rFonts w:eastAsiaTheme="majorEastAsia"/>
          <w:noProof/>
        </w:rPr>
        <w:t>1</w:t>
      </w:r>
      <w:r w:rsidRPr="005B4281">
        <w:rPr>
          <w:rStyle w:val="Strong"/>
          <w:rFonts w:eastAsiaTheme="majorEastAsia"/>
          <w:noProof/>
        </w:rPr>
        <w:t>. Full model: Adjusted odds ratios for E. coli contamination predictors in urban and rural households (before backward elimination)</w:t>
      </w:r>
      <w:r>
        <w:rPr>
          <w:rStyle w:val="Strong"/>
          <w:rFonts w:cs="Times New Roman"/>
          <w:noProof/>
          <w:color w:val="0F1115"/>
          <w:szCs w:val="24"/>
          <w:shd w:val="clear" w:color="auto" w:fill="FFFFFF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52"/>
        <w:gridCol w:w="2587"/>
        <w:gridCol w:w="2587"/>
      </w:tblGrid>
      <w:tr w:rsidR="00F00094" w:rsidRPr="00A354A9" w14:paraId="749B10F0" w14:textId="77777777" w:rsidTr="009F658C">
        <w:trPr>
          <w:trHeight w:val="20"/>
          <w:tblHeader/>
        </w:trPr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FCA272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Characteristics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FF0C5CE" w14:textId="77777777" w:rsidR="00F00094" w:rsidRPr="00E1030D" w:rsidRDefault="00F00094" w:rsidP="009F658C">
            <w:pPr>
              <w:pStyle w:val="NoSpacing"/>
              <w:jc w:val="center"/>
              <w:rPr>
                <w:b/>
                <w:bCs/>
                <w:noProof/>
                <w:color w:val="0F1115"/>
                <w:lang w:eastAsia="en-ID"/>
              </w:rPr>
            </w:pPr>
            <w:r w:rsidRPr="00E1030D">
              <w:rPr>
                <w:b/>
                <w:bCs/>
                <w:noProof/>
                <w:color w:val="0F1115"/>
                <w:lang w:eastAsia="en-ID"/>
              </w:rPr>
              <w:t>Urban (N=24,909)</w:t>
            </w:r>
          </w:p>
          <w:p w14:paraId="62E15A3B" w14:textId="77777777" w:rsidR="00F00094" w:rsidRPr="00E1030D" w:rsidRDefault="00F00094" w:rsidP="009F658C">
            <w:pPr>
              <w:pStyle w:val="NoSpacing"/>
              <w:jc w:val="center"/>
              <w:rPr>
                <w:b/>
                <w:bCs/>
                <w:noProof/>
                <w:color w:val="0F1115"/>
                <w:lang w:eastAsia="en-ID"/>
              </w:rPr>
            </w:pPr>
            <w:r w:rsidRPr="00E1030D">
              <w:rPr>
                <w:b/>
                <w:bCs/>
                <w:noProof/>
                <w:color w:val="0F1115"/>
                <w:lang w:eastAsia="en-ID"/>
              </w:rPr>
              <w:t>AOR (95% CI)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4F86EF" w14:textId="77777777" w:rsidR="00F00094" w:rsidRPr="00E1030D" w:rsidRDefault="00F00094" w:rsidP="009F658C">
            <w:pPr>
              <w:pStyle w:val="NoSpacing"/>
              <w:jc w:val="center"/>
              <w:rPr>
                <w:b/>
                <w:bCs/>
                <w:noProof/>
                <w:color w:val="0F1115"/>
                <w:lang w:eastAsia="en-ID"/>
              </w:rPr>
            </w:pPr>
            <w:r w:rsidRPr="00E1030D">
              <w:rPr>
                <w:b/>
                <w:bCs/>
                <w:noProof/>
                <w:color w:val="0F1115"/>
                <w:lang w:eastAsia="en-ID"/>
              </w:rPr>
              <w:t>Rural (N=</w:t>
            </w:r>
            <w:r w:rsidRPr="00E1030D">
              <w:rPr>
                <w:b/>
                <w:bCs/>
                <w:noProof/>
              </w:rPr>
              <w:t>36,786 )</w:t>
            </w:r>
          </w:p>
          <w:p w14:paraId="57F8888B" w14:textId="77777777" w:rsidR="00F00094" w:rsidRPr="00E1030D" w:rsidRDefault="00F00094" w:rsidP="009F658C">
            <w:pPr>
              <w:pStyle w:val="NoSpacing"/>
              <w:jc w:val="center"/>
              <w:rPr>
                <w:b/>
                <w:bCs/>
                <w:noProof/>
                <w:color w:val="0F1115"/>
                <w:lang w:eastAsia="en-ID"/>
              </w:rPr>
            </w:pPr>
            <w:r w:rsidRPr="00E1030D">
              <w:rPr>
                <w:b/>
                <w:bCs/>
                <w:noProof/>
                <w:color w:val="0F1115"/>
                <w:lang w:eastAsia="en-ID"/>
              </w:rPr>
              <w:t>AOR (95% CI)</w:t>
            </w:r>
          </w:p>
        </w:tc>
      </w:tr>
      <w:tr w:rsidR="00F00094" w:rsidRPr="00A354A9" w14:paraId="51E703A7" w14:textId="77777777" w:rsidTr="009F658C">
        <w:trPr>
          <w:trHeight w:val="516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E5BC39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Age group of the household</w:t>
            </w:r>
          </w:p>
          <w:p w14:paraId="3772CC6C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head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190C7F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0145FE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 </w:t>
            </w:r>
          </w:p>
        </w:tc>
      </w:tr>
      <w:tr w:rsidR="00F00094" w:rsidRPr="00A354A9" w14:paraId="0AAFE471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26840A77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&lt; 35 years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3292472E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1.17 (1.01–1.36)*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30C18248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1.09 (0.97–1.23)</w:t>
            </w:r>
          </w:p>
        </w:tc>
      </w:tr>
      <w:tr w:rsidR="00F00094" w:rsidRPr="00A354A9" w14:paraId="7DA27E9D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18DB8630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35-49 years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38B7AFB0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1.09 (0.98–1.20)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79DBBB04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1.05 (0.97–1.13)</w:t>
            </w:r>
          </w:p>
        </w:tc>
      </w:tr>
      <w:tr w:rsidR="00F00094" w:rsidRPr="00A354A9" w14:paraId="39637681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5DE0381B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50-59 years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7DD55360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7BEC7578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77C8EA73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C5FAB8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60+ years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130461A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1.00 (0.89–1.11)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3FE2471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1.05 (0.97–1.15)</w:t>
            </w:r>
          </w:p>
        </w:tc>
      </w:tr>
      <w:tr w:rsidR="00F00094" w:rsidRPr="00A354A9" w14:paraId="6D5FEC3D" w14:textId="77777777" w:rsidTr="009F658C">
        <w:trPr>
          <w:trHeight w:val="516"/>
          <w:tblHeader/>
        </w:trPr>
        <w:tc>
          <w:tcPr>
            <w:tcW w:w="213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1D73117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Educational level of the</w:t>
            </w:r>
          </w:p>
          <w:p w14:paraId="67832E2C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household head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E8F40B3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B1F063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7BB18F21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13F6DE0B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No formal education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00B10578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2.74 (1.97–3.80)***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222B8C49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1.38 (0.94–2.01)</w:t>
            </w:r>
          </w:p>
        </w:tc>
      </w:tr>
      <w:tr w:rsidR="00F00094" w:rsidRPr="00A354A9" w14:paraId="1A6CA3A4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65CCDCAF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Primary education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7F3B192F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1.68 (1.44–1.96)***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19422AB2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1.48 (1.29–1.69)***</w:t>
            </w:r>
          </w:p>
        </w:tc>
      </w:tr>
      <w:tr w:rsidR="00F00094" w:rsidRPr="00A354A9" w14:paraId="2351FD78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54CE8E2A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Secondary education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1330B4F5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1.26 (1.10–1.45)***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4E9ACA5C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1.25 (1.11–1.42)***</w:t>
            </w:r>
          </w:p>
        </w:tc>
      </w:tr>
      <w:tr w:rsidR="00F00094" w:rsidRPr="00A354A9" w14:paraId="56F11105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B75BA77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Higher education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7F20DB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1C18D2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146706D7" w14:textId="77777777" w:rsidTr="009F658C">
        <w:trPr>
          <w:trHeight w:val="516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26D9C2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Occupation of the household</w:t>
            </w:r>
          </w:p>
          <w:p w14:paraId="627CEBB9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head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6C08F9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A12075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7F111AAE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4F7E33E1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Formal sector employee</w:t>
            </w:r>
          </w:p>
        </w:tc>
        <w:tc>
          <w:tcPr>
            <w:tcW w:w="1433" w:type="pct"/>
            <w:noWrap/>
            <w:vAlign w:val="center"/>
            <w:hideMark/>
          </w:tcPr>
          <w:p w14:paraId="37992D69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0A6FD37D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37B82D6B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4E396EDC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Informal sector employee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0C5ECC43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1.00 (0.89–1.13)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2BCECDC1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1.14 (1.01–1.27)*</w:t>
            </w:r>
          </w:p>
        </w:tc>
      </w:tr>
      <w:tr w:rsidR="00F00094" w:rsidRPr="00A354A9" w14:paraId="688F038E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B34693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Unemployed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A7540A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0.81 (0.67-0.99)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4FC6EB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1.14 (0.94–1.39)</w:t>
            </w:r>
          </w:p>
        </w:tc>
      </w:tr>
      <w:tr w:rsidR="00F00094" w:rsidRPr="00A354A9" w14:paraId="17F22F57" w14:textId="77777777" w:rsidTr="009F658C">
        <w:trPr>
          <w:trHeight w:val="20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8844CA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Drinking water facilities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C3C9EE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26936B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2D629466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410ECA50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Improved</w:t>
            </w:r>
          </w:p>
        </w:tc>
        <w:tc>
          <w:tcPr>
            <w:tcW w:w="1433" w:type="pct"/>
            <w:noWrap/>
            <w:vAlign w:val="center"/>
            <w:hideMark/>
          </w:tcPr>
          <w:p w14:paraId="6F743142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579294C8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1626B70D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E3DB6E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Unimproved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65E4A6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1.29 (0.95–1.74)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019E67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1.41 (1.12–1.77)**</w:t>
            </w:r>
          </w:p>
        </w:tc>
      </w:tr>
      <w:tr w:rsidR="00F00094" w:rsidRPr="00A354A9" w14:paraId="1247DB61" w14:textId="77777777" w:rsidTr="009F658C">
        <w:trPr>
          <w:trHeight w:val="516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493B32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Household water treatment</w:t>
            </w:r>
          </w:p>
          <w:p w14:paraId="2270E653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practices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40CCFA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046FF5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33B22959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69B7D5C1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Yes</w:t>
            </w:r>
          </w:p>
        </w:tc>
        <w:tc>
          <w:tcPr>
            <w:tcW w:w="1433" w:type="pct"/>
            <w:noWrap/>
            <w:vAlign w:val="center"/>
            <w:hideMark/>
          </w:tcPr>
          <w:p w14:paraId="4C902BD2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51EE07E8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3295E01D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E8FB8B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No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06F6E4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1.19 (0.98–1.44)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B3A31D0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1.41 (1.19–1.68)***</w:t>
            </w:r>
          </w:p>
        </w:tc>
      </w:tr>
      <w:tr w:rsidR="00F00094" w:rsidRPr="00A354A9" w14:paraId="203F1ACC" w14:textId="77777777" w:rsidTr="009F658C">
        <w:trPr>
          <w:trHeight w:val="20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C39393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Handwashing facility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013C79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79F880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4DC2756B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2FF3C4D9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Available</w:t>
            </w:r>
          </w:p>
        </w:tc>
        <w:tc>
          <w:tcPr>
            <w:tcW w:w="1433" w:type="pct"/>
            <w:noWrap/>
            <w:vAlign w:val="center"/>
            <w:hideMark/>
          </w:tcPr>
          <w:p w14:paraId="35D39046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1052A64C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356C161A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1F7279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Not available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9775550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1.45 (1.07–1.95)*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10B13B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1.27 (1.00–1.61)</w:t>
            </w:r>
          </w:p>
        </w:tc>
      </w:tr>
      <w:tr w:rsidR="00F00094" w:rsidRPr="00A354A9" w14:paraId="29ACE00F" w14:textId="77777777" w:rsidTr="009F658C">
        <w:trPr>
          <w:trHeight w:val="516"/>
          <w:tblHeader/>
        </w:trPr>
        <w:tc>
          <w:tcPr>
            <w:tcW w:w="21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98ABFB" w14:textId="77777777" w:rsidR="00F00094" w:rsidRPr="00E1030D" w:rsidRDefault="00F00094" w:rsidP="009F658C">
            <w:pPr>
              <w:pStyle w:val="NoSpacing"/>
              <w:rPr>
                <w:b/>
                <w:bCs/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Organic waste container in</w:t>
            </w:r>
          </w:p>
          <w:p w14:paraId="120A6912" w14:textId="77777777" w:rsidR="00F00094" w:rsidRPr="00A354A9" w:rsidRDefault="00F00094" w:rsidP="009F658C">
            <w:pPr>
              <w:pStyle w:val="NoSpacing"/>
              <w:rPr>
                <w:noProof/>
                <w:lang w:eastAsia="en-ID"/>
              </w:rPr>
            </w:pPr>
            <w:r w:rsidRPr="00E1030D">
              <w:rPr>
                <w:b/>
                <w:bCs/>
                <w:noProof/>
                <w:lang w:eastAsia="en-ID"/>
              </w:rPr>
              <w:t>a household</w:t>
            </w:r>
            <w:r w:rsidRPr="00A354A9">
              <w:rPr>
                <w:noProof/>
                <w:lang w:eastAsia="en-ID"/>
              </w:rPr>
              <w:t> 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6D8373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  <w:tc>
          <w:tcPr>
            <w:tcW w:w="14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58972F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lang w:eastAsia="en-ID"/>
              </w:rPr>
            </w:pPr>
          </w:p>
        </w:tc>
      </w:tr>
      <w:tr w:rsidR="00F00094" w:rsidRPr="00A354A9" w14:paraId="255D0C0A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681C6E32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Available - Closed container</w:t>
            </w:r>
          </w:p>
        </w:tc>
        <w:tc>
          <w:tcPr>
            <w:tcW w:w="1433" w:type="pct"/>
            <w:noWrap/>
            <w:vAlign w:val="center"/>
            <w:hideMark/>
          </w:tcPr>
          <w:p w14:paraId="25BC70B2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  <w:tc>
          <w:tcPr>
            <w:tcW w:w="1433" w:type="pct"/>
            <w:noWrap/>
            <w:vAlign w:val="center"/>
            <w:hideMark/>
          </w:tcPr>
          <w:p w14:paraId="493C3228" w14:textId="77777777" w:rsidR="00F00094" w:rsidRPr="00A354A9" w:rsidRDefault="00F00094" w:rsidP="009F658C">
            <w:pPr>
              <w:pStyle w:val="NoSpacing"/>
              <w:jc w:val="center"/>
              <w:rPr>
                <w:i/>
                <w:iCs/>
                <w:noProof/>
                <w:color w:val="0F1115"/>
                <w:lang w:eastAsia="en-ID"/>
              </w:rPr>
            </w:pPr>
            <w:r w:rsidRPr="00A354A9">
              <w:rPr>
                <w:i/>
                <w:iCs/>
                <w:noProof/>
                <w:color w:val="0F1115"/>
                <w:lang w:eastAsia="en-ID"/>
              </w:rPr>
              <w:t>ref</w:t>
            </w:r>
          </w:p>
        </w:tc>
      </w:tr>
      <w:tr w:rsidR="00F00094" w:rsidRPr="00A354A9" w14:paraId="47A9BD99" w14:textId="77777777" w:rsidTr="009F658C">
        <w:trPr>
          <w:trHeight w:val="20"/>
          <w:tblHeader/>
        </w:trPr>
        <w:tc>
          <w:tcPr>
            <w:tcW w:w="2134" w:type="pct"/>
            <w:noWrap/>
            <w:vAlign w:val="center"/>
            <w:hideMark/>
          </w:tcPr>
          <w:p w14:paraId="7DA3977F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Available</w:t>
            </w:r>
            <w:r>
              <w:rPr>
                <w:noProof/>
                <w:lang w:eastAsia="en-ID"/>
              </w:rPr>
              <w:t xml:space="preserve"> - </w:t>
            </w:r>
            <w:r w:rsidRPr="00A354A9">
              <w:rPr>
                <w:noProof/>
                <w:lang w:eastAsia="en-ID"/>
              </w:rPr>
              <w:t>open</w:t>
            </w:r>
            <w:r>
              <w:rPr>
                <w:noProof/>
                <w:lang w:eastAsia="en-ID"/>
              </w:rPr>
              <w:t xml:space="preserve"> waste</w:t>
            </w:r>
            <w:r w:rsidRPr="00A354A9">
              <w:rPr>
                <w:noProof/>
                <w:lang w:eastAsia="en-ID"/>
              </w:rPr>
              <w:t xml:space="preserve"> container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07F7E85D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1.30 (1.15–1.47)***</w:t>
            </w:r>
          </w:p>
        </w:tc>
        <w:tc>
          <w:tcPr>
            <w:tcW w:w="1433" w:type="pct"/>
            <w:shd w:val="clear" w:color="000000" w:fill="FFFFFF"/>
            <w:vAlign w:val="center"/>
            <w:hideMark/>
          </w:tcPr>
          <w:p w14:paraId="4C99E9C3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1.33 (1.18–1.50)***</w:t>
            </w:r>
          </w:p>
        </w:tc>
      </w:tr>
      <w:tr w:rsidR="00F00094" w:rsidRPr="00A354A9" w14:paraId="132CBBE8" w14:textId="77777777" w:rsidTr="009F658C">
        <w:trPr>
          <w:trHeight w:val="20"/>
          <w:tblHeader/>
        </w:trPr>
        <w:tc>
          <w:tcPr>
            <w:tcW w:w="21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DB75AA" w14:textId="77777777" w:rsidR="00F00094" w:rsidRPr="00A354A9" w:rsidRDefault="00F00094" w:rsidP="009F658C">
            <w:pPr>
              <w:pStyle w:val="NoSpacing"/>
              <w:ind w:left="176"/>
              <w:rPr>
                <w:noProof/>
                <w:lang w:eastAsia="en-ID"/>
              </w:rPr>
            </w:pPr>
            <w:r w:rsidRPr="00A354A9">
              <w:rPr>
                <w:noProof/>
                <w:lang w:eastAsia="en-ID"/>
              </w:rPr>
              <w:t>Not available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3DE7DA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2.15 (1.46–3.18)***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F48204" w14:textId="77777777" w:rsidR="00F00094" w:rsidRPr="00A354A9" w:rsidRDefault="00F00094" w:rsidP="009F658C">
            <w:pPr>
              <w:pStyle w:val="NoSpacing"/>
              <w:jc w:val="center"/>
              <w:rPr>
                <w:noProof/>
                <w:color w:val="0F1115"/>
                <w:lang w:eastAsia="en-ID"/>
              </w:rPr>
            </w:pPr>
            <w:r w:rsidRPr="00A354A9">
              <w:rPr>
                <w:noProof/>
                <w:color w:val="0F1115"/>
                <w:lang w:eastAsia="en-ID"/>
              </w:rPr>
              <w:t>0.54 (0.33–0.88)*</w:t>
            </w:r>
          </w:p>
        </w:tc>
      </w:tr>
    </w:tbl>
    <w:p w14:paraId="36316EB3" w14:textId="77777777" w:rsidR="00F00094" w:rsidRPr="00347ADF" w:rsidRDefault="00F00094" w:rsidP="00F00094">
      <w:pPr>
        <w:ind w:firstLine="0"/>
        <w:rPr>
          <w:rFonts w:cs="Times New Roman"/>
          <w:i/>
          <w:iCs/>
          <w:szCs w:val="20"/>
        </w:rPr>
      </w:pPr>
      <w:r w:rsidRPr="00347ADF">
        <w:rPr>
          <w:rFonts w:cs="Times New Roman"/>
          <w:i/>
          <w:iCs/>
          <w:color w:val="0F1115"/>
          <w:szCs w:val="20"/>
          <w:shd w:val="clear" w:color="auto" w:fill="FFFFFF"/>
        </w:rPr>
        <w:t>***p&lt;0.001, **p&lt;0.01, </w:t>
      </w:r>
      <w:r w:rsidRPr="00347ADF">
        <w:rPr>
          <w:rStyle w:val="Emphasis"/>
          <w:rFonts w:cs="Times New Roman"/>
          <w:i w:val="0"/>
          <w:iCs w:val="0"/>
          <w:color w:val="0F1115"/>
          <w:szCs w:val="20"/>
          <w:shd w:val="clear" w:color="auto" w:fill="FFFFFF"/>
        </w:rPr>
        <w:t>p&lt;0.05</w:t>
      </w:r>
    </w:p>
    <w:p w14:paraId="4A499FAB" w14:textId="77777777" w:rsidR="00DE6AE2" w:rsidRDefault="00DE6AE2"/>
    <w:sectPr w:rsidR="00DE6AE2" w:rsidSect="00F0009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026E" w14:textId="77777777" w:rsidR="00F00094" w:rsidRDefault="00F000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1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9B394" w14:textId="77777777" w:rsidR="00F00094" w:rsidRDefault="00F000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FAE9BE" w14:textId="77777777" w:rsidR="00F00094" w:rsidRPr="00D1218B" w:rsidRDefault="00F00094" w:rsidP="00D121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AEB2" w14:textId="77777777" w:rsidR="00F00094" w:rsidRDefault="00F0009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A471" w14:textId="77777777" w:rsidR="00F00094" w:rsidRDefault="00F00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02E2" w14:textId="77777777" w:rsidR="00F00094" w:rsidRDefault="00F000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F15E" w14:textId="77777777" w:rsidR="00F00094" w:rsidRDefault="00F000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94"/>
    <w:rsid w:val="00195413"/>
    <w:rsid w:val="003A03A7"/>
    <w:rsid w:val="003D0186"/>
    <w:rsid w:val="007278E4"/>
    <w:rsid w:val="00966D69"/>
    <w:rsid w:val="00A3738C"/>
    <w:rsid w:val="00B91ABC"/>
    <w:rsid w:val="00BC6C35"/>
    <w:rsid w:val="00CB270D"/>
    <w:rsid w:val="00CF7583"/>
    <w:rsid w:val="00DE6AE2"/>
    <w:rsid w:val="00F0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28FA"/>
  <w15:chartTrackingRefBased/>
  <w15:docId w15:val="{84B72F20-E730-472B-94BE-91DFC1E7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94"/>
    <w:pPr>
      <w:spacing w:after="80" w:line="480" w:lineRule="auto"/>
      <w:ind w:firstLine="851"/>
      <w:jc w:val="both"/>
    </w:pPr>
    <w:rPr>
      <w:rFonts w:ascii="Times New Roman" w:hAnsi="Times New Roman"/>
      <w:sz w:val="20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094"/>
    <w:pPr>
      <w:keepNext/>
      <w:keepLines/>
      <w:spacing w:before="36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094"/>
    <w:pPr>
      <w:keepNext/>
      <w:keepLines/>
      <w:spacing w:before="16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094"/>
    <w:pPr>
      <w:keepNext/>
      <w:keepLines/>
      <w:spacing w:before="16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09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09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094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094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094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094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094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00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09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00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094"/>
    <w:pPr>
      <w:spacing w:before="160" w:after="160" w:line="278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00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094"/>
    <w:pPr>
      <w:spacing w:after="160" w:line="278" w:lineRule="auto"/>
      <w:ind w:left="720" w:firstLine="0"/>
      <w:contextualSpacing/>
      <w:jc w:val="left"/>
    </w:pPr>
    <w:rPr>
      <w:rFonts w:asciiTheme="minorHAnsi" w:hAnsiTheme="minorHAnsi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00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0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00094"/>
    <w:pPr>
      <w:spacing w:after="0" w:line="240" w:lineRule="auto"/>
      <w:jc w:val="both"/>
    </w:pPr>
    <w:rPr>
      <w:rFonts w:ascii="Times New Roman" w:hAnsi="Times New Roman"/>
      <w:sz w:val="22"/>
      <w:szCs w:val="22"/>
      <w:lang w:val="en-ID"/>
    </w:rPr>
  </w:style>
  <w:style w:type="character" w:styleId="Strong">
    <w:name w:val="Strong"/>
    <w:basedOn w:val="DefaultParagraphFont"/>
    <w:uiPriority w:val="22"/>
    <w:qFormat/>
    <w:rsid w:val="00F00094"/>
    <w:rPr>
      <w:b/>
      <w:bCs/>
    </w:rPr>
  </w:style>
  <w:style w:type="character" w:styleId="Emphasis">
    <w:name w:val="Emphasis"/>
    <w:basedOn w:val="DefaultParagraphFont"/>
    <w:uiPriority w:val="20"/>
    <w:qFormat/>
    <w:rsid w:val="00F0009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0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094"/>
    <w:rPr>
      <w:rFonts w:ascii="Times New Roman" w:hAnsi="Times New Roman"/>
      <w:sz w:val="20"/>
      <w:szCs w:val="22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F00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094"/>
    <w:rPr>
      <w:rFonts w:ascii="Times New Roman" w:hAnsi="Times New Roman"/>
      <w:sz w:val="20"/>
      <w:szCs w:val="22"/>
      <w:lang w:val="en-ID"/>
    </w:rPr>
  </w:style>
  <w:style w:type="character" w:styleId="LineNumber">
    <w:name w:val="line number"/>
    <w:basedOn w:val="DefaultParagraphFont"/>
    <w:uiPriority w:val="99"/>
    <w:semiHidden/>
    <w:unhideWhenUsed/>
    <w:rsid w:val="00F0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>Springer Nature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2026-08-03T06:09:00Z</dcterms:created>
  <dcterms:modified xsi:type="dcterms:W3CDTF">2026-08-03T06:09:00Z</dcterms:modified>
</cp:coreProperties>
</file>