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420" w:leftChars="-200" w:right="-632" w:rightChars="-301" w:firstLine="480" w:firstLineChars="2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hint="eastAsia" w:ascii="Times New Roman" w:hAnsi="Times New Roman" w:cs="Times New Roman"/>
          <w:bCs/>
          <w:sz w:val="24"/>
          <w:szCs w:val="24"/>
        </w:rPr>
        <w:t>1. Follow up schedule and data to be collected.</w:t>
      </w:r>
    </w:p>
    <w:tbl>
      <w:tblPr>
        <w:tblStyle w:val="3"/>
        <w:tblpPr w:leftFromText="180" w:rightFromText="180" w:vertAnchor="text" w:horzAnchor="page" w:tblpX="633" w:tblpY="184"/>
        <w:tblOverlap w:val="never"/>
        <w:tblW w:w="596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0"/>
        <w:gridCol w:w="1310"/>
        <w:gridCol w:w="1210"/>
        <w:gridCol w:w="662"/>
        <w:gridCol w:w="889"/>
        <w:gridCol w:w="725"/>
        <w:gridCol w:w="1068"/>
        <w:gridCol w:w="760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Induction treatment stage</w:t>
            </w:r>
          </w:p>
        </w:tc>
        <w:tc>
          <w:tcPr>
            <w:tcW w:w="2019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Randomized stage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Early exit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119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Visit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S2-4</w:t>
            </w:r>
          </w:p>
        </w:tc>
        <w:tc>
          <w:tcPr>
            <w:tcW w:w="32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V1</w:t>
            </w:r>
            <w:r>
              <w:rPr>
                <w:rFonts w:hint="eastAsia" w:ascii="Times New Roman" w:hAnsi="Times New Roman" w:cs="Times New Roman"/>
              </w:rPr>
              <w:t>-2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V3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V4</w:t>
            </w:r>
            <w:r>
              <w:rPr>
                <w:rFonts w:hint="eastAsia" w:ascii="Times New Roman" w:hAnsi="Times New Roman" w:cs="Times New Roman"/>
              </w:rPr>
              <w:t>-8</w:t>
            </w: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V9</w:t>
            </w:r>
          </w:p>
        </w:tc>
        <w:tc>
          <w:tcPr>
            <w:tcW w:w="550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119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44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Wk0</w:t>
            </w:r>
          </w:p>
        </w:tc>
        <w:tc>
          <w:tcPr>
            <w:tcW w:w="595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Wk 4\8\12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Wk0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Wk4</w:t>
            </w:r>
            <w:r>
              <w:rPr>
                <w:rFonts w:hint="eastAsia" w:ascii="Times New Roman" w:hAnsi="Times New Roman" w:cs="Times New Roman"/>
              </w:rPr>
              <w:t>-8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Wk12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Wk20</w:t>
            </w:r>
            <w:r>
              <w:rPr>
                <w:rFonts w:hint="eastAsia" w:ascii="Times New Roman" w:hAnsi="Times New Roman" w:cs="Times New Roman"/>
              </w:rPr>
              <w:t>-52</w:t>
            </w: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Wk</w:t>
            </w:r>
            <w:r>
              <w:rPr>
                <w:rFonts w:hint="eastAsia"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5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ICF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Demographic data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Past history and medication history collection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Physical examination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Urine βHCG</w:t>
            </w:r>
          </w:p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(if applicable)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BCC, renal </w:t>
            </w:r>
            <w:r>
              <w:rPr>
                <w:rFonts w:hint="eastAsia" w:ascii="Times New Roman" w:hAnsi="Times New Roman" w:cs="Times New Roman"/>
              </w:rPr>
              <w:t xml:space="preserve">and </w:t>
            </w:r>
            <w:r>
              <w:rPr>
                <w:rFonts w:ascii="Times New Roman" w:hAnsi="Times New Roman" w:cs="Times New Roman"/>
              </w:rPr>
              <w:t>liver function, ESR,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CRP,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RF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Assessment committee examination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IC/EC judgement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Randomization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Hand X-ray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bookmarkStart w:id="0" w:name="_Toc366743491"/>
            <w:r>
              <w:rPr>
                <w:rFonts w:ascii="Times New Roman" w:hAnsi="Times New Roman" w:cs="Times New Roman"/>
              </w:rPr>
              <w:t>√</w:t>
            </w:r>
            <w:bookmarkEnd w:id="0"/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bookmarkStart w:id="1" w:name="_Toc366743492"/>
            <w:r>
              <w:rPr>
                <w:rFonts w:ascii="Times New Roman" w:hAnsi="Times New Roman" w:cs="Times New Roman"/>
              </w:rPr>
              <w:t>√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Ultrasound of double hands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Anti-CCP antibody 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bookmarkStart w:id="2" w:name="_Toc367111876"/>
            <w:bookmarkStart w:id="3" w:name="_Toc367176252"/>
            <w:bookmarkStart w:id="4" w:name="_Toc393283316"/>
            <w:r>
              <w:rPr>
                <w:rFonts w:ascii="Times New Roman" w:hAnsi="Times New Roman" w:cs="Times New Roman"/>
              </w:rPr>
              <w:t>√</w:t>
            </w:r>
            <w:bookmarkEnd w:id="2"/>
            <w:bookmarkEnd w:id="3"/>
            <w:bookmarkEnd w:id="4"/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Cost </w:t>
            </w:r>
            <w:r>
              <w:rPr>
                <w:rFonts w:hint="eastAsia" w:ascii="Times New Roman" w:hAnsi="Times New Roman" w:cs="Times New Roman"/>
              </w:rPr>
              <w:t>record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HAQ-DI/EQ-5D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Study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Medication record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Concomitant medication record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AE record</w:t>
            </w:r>
          </w:p>
        </w:tc>
        <w:tc>
          <w:tcPr>
            <w:tcW w:w="6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3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√</w:t>
            </w:r>
          </w:p>
        </w:tc>
      </w:tr>
    </w:tbl>
    <w:p>
      <w:pPr>
        <w:ind w:left="-1260" w:leftChars="-600" w:right="-638" w:rightChars="-30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 ICF: </w:t>
      </w:r>
      <w:r>
        <w:fldChar w:fldCharType="begin"/>
      </w:r>
      <w:r>
        <w:instrText xml:space="preserve"> HYPERLINK "http://www.baidu.com/link?url=-qoHJhsxlaBUznCd_ii5yrJ3kKdx9paV_i1HyYF7z_T_zpHGg7k-AePSpdWR89phJNHX5sUJyCbcvakS_c1xE2-wFaeVI9lDpxU1cvlFwtRmt5uLPO-7Q0fcLukdW_IL" \t "_blank" </w:instrText>
      </w:r>
      <w:r>
        <w:fldChar w:fldCharType="separate"/>
      </w:r>
      <w:r>
        <w:rPr>
          <w:rFonts w:ascii="Times New Roman" w:hAnsi="Times New Roman" w:cs="Times New Roman"/>
        </w:rPr>
        <w:t>Informed Consent Form; 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BCC: Blood cells count; ESR: Erythrocyte sedimentation rate; CRP: C-reactive protein; RF: rheumatoid factor; IC/EC: inclusion criteria/exclusion criteria; Anti-CCP antibody: anti-cycl</w:t>
      </w:r>
      <w:r>
        <w:rPr>
          <w:rFonts w:hint="eastAsia" w:ascii="Times New Roman" w:hAnsi="Times New Roman" w:cs="Times New Roman"/>
        </w:rPr>
        <w:t xml:space="preserve">ic </w:t>
      </w:r>
      <w:r>
        <w:rPr>
          <w:rFonts w:ascii="Times New Roman" w:hAnsi="Times New Roman" w:cs="Times New Roman"/>
        </w:rPr>
        <w:t>citrullin</w:t>
      </w:r>
      <w:r>
        <w:rPr>
          <w:rFonts w:hint="eastAsia" w:ascii="Times New Roman" w:hAnsi="Times New Roman" w:cs="Times New Roman"/>
        </w:rPr>
        <w:t>ated</w:t>
      </w:r>
      <w:r>
        <w:rPr>
          <w:rFonts w:ascii="Times New Roman" w:hAnsi="Times New Roman" w:cs="Times New Roman"/>
        </w:rPr>
        <w:t xml:space="preserve"> peptide antibody; HAQ-DI/EQ-5D: Health Assessment Questionnaire Disability Index/ Euro Qol five dimensions questionnaire; AE: Adverse event.</w:t>
      </w:r>
    </w:p>
    <w:p>
      <w:pPr>
        <w:widowControl/>
        <w:ind w:right="-212" w:rightChars="-101"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spacing w:line="360" w:lineRule="auto"/>
        <w:ind w:left="-420" w:leftChars="-200" w:right="-632" w:rightChars="-301" w:firstLine="420" w:firstLineChars="175"/>
        <w:rPr>
          <w:rFonts w:ascii="Times New Roman" w:hAnsi="Times New Roman" w:cs="Times New Roman"/>
          <w:bCs/>
          <w:sz w:val="24"/>
          <w:szCs w:val="24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Cs/>
          <w:sz w:val="24"/>
          <w:szCs w:val="24"/>
        </w:rPr>
        <w:t>S2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. The multiple logistic regression analysis of </w:t>
      </w:r>
      <w:r>
        <w:rPr>
          <w:rFonts w:ascii="Times New Roman" w:hAnsi="Times New Roman" w:cs="Times New Roman"/>
          <w:bCs/>
          <w:sz w:val="24"/>
          <w:szCs w:val="24"/>
        </w:rPr>
        <w:t>predictive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 factors of </w:t>
      </w:r>
    </w:p>
    <w:p>
      <w:pPr>
        <w:spacing w:line="360" w:lineRule="auto"/>
        <w:ind w:left="-420" w:leftChars="-200" w:right="-632" w:rightChars="-301" w:firstLine="420" w:firstLineChars="175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>DA</w:t>
      </w:r>
      <w:r>
        <w:rPr>
          <w:rFonts w:hint="eastAsia" w:ascii="Times New Roman" w:hAnsi="Times New Roman" w:cs="Times New Roman"/>
          <w:bCs/>
          <w:sz w:val="24"/>
          <w:szCs w:val="24"/>
        </w:rPr>
        <w:t>/remission achievement in 12 weeks.</w:t>
      </w:r>
    </w:p>
    <w:tbl>
      <w:tblPr>
        <w:tblStyle w:val="3"/>
        <w:tblpPr w:leftFromText="180" w:rightFromText="180" w:vertAnchor="text" w:horzAnchor="margin" w:tblpY="18"/>
        <w:tblOverlap w:val="never"/>
        <w:tblW w:w="447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9"/>
        <w:gridCol w:w="1951"/>
        <w:gridCol w:w="1799"/>
        <w:gridCol w:w="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1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Odds Ratio</w:t>
            </w:r>
          </w:p>
        </w:tc>
        <w:tc>
          <w:tcPr>
            <w:tcW w:w="11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Exp（B）95%CI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Gender (F/%)</w:t>
            </w:r>
          </w:p>
        </w:tc>
        <w:tc>
          <w:tcPr>
            <w:tcW w:w="1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0.046</w:t>
            </w:r>
          </w:p>
        </w:tc>
        <w:tc>
          <w:tcPr>
            <w:tcW w:w="11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0.005-0.451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1"/>
                <w:szCs w:val="22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Disease duration (months)</w:t>
            </w:r>
          </w:p>
        </w:tc>
        <w:tc>
          <w:tcPr>
            <w:tcW w:w="1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0.996</w:t>
            </w:r>
          </w:p>
        </w:tc>
        <w:tc>
          <w:tcPr>
            <w:tcW w:w="11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0.992-1.001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Baseline TJC</w:t>
            </w:r>
          </w:p>
        </w:tc>
        <w:tc>
          <w:tcPr>
            <w:tcW w:w="1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0.825</w:t>
            </w:r>
          </w:p>
        </w:tc>
        <w:tc>
          <w:tcPr>
            <w:tcW w:w="11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0.710-0.958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b/>
                <w:bCs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1"/>
                <w:szCs w:val="22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1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Baseline DAS28-CRP</w:t>
            </w:r>
          </w:p>
        </w:tc>
        <w:tc>
          <w:tcPr>
            <w:tcW w:w="1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0.740</w:t>
            </w:r>
          </w:p>
        </w:tc>
        <w:tc>
          <w:tcPr>
            <w:tcW w:w="11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0.077-7.134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0.795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Baseline DAS28-ESR</w:t>
            </w:r>
          </w:p>
        </w:tc>
        <w:tc>
          <w:tcPr>
            <w:tcW w:w="1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0.932</w:t>
            </w:r>
          </w:p>
        </w:tc>
        <w:tc>
          <w:tcPr>
            <w:tcW w:w="11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0.322-2.700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0.897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Baseline SDAI</w:t>
            </w:r>
          </w:p>
        </w:tc>
        <w:tc>
          <w:tcPr>
            <w:tcW w:w="1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0.870</w:t>
            </w:r>
          </w:p>
        </w:tc>
        <w:tc>
          <w:tcPr>
            <w:tcW w:w="11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0.656-1.153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Baseline CDAI</w:t>
            </w:r>
          </w:p>
        </w:tc>
        <w:tc>
          <w:tcPr>
            <w:tcW w:w="1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1.282</w:t>
            </w:r>
          </w:p>
        </w:tc>
        <w:tc>
          <w:tcPr>
            <w:tcW w:w="11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0.981-1.675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9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Baseline HAQ</w:t>
            </w:r>
          </w:p>
        </w:tc>
        <w:tc>
          <w:tcPr>
            <w:tcW w:w="12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0.990</w:t>
            </w:r>
          </w:p>
        </w:tc>
        <w:tc>
          <w:tcPr>
            <w:tcW w:w="11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0.947-1.036</w:t>
            </w:r>
          </w:p>
        </w:tc>
        <w:tc>
          <w:tcPr>
            <w:tcW w:w="6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0.673</w:t>
            </w:r>
          </w:p>
        </w:tc>
      </w:tr>
    </w:tbl>
    <w:p>
      <w:pPr>
        <w:ind w:left="-420" w:leftChars="-200" w:right="-212" w:rightChars="-101" w:firstLine="420" w:firstLineChars="200"/>
        <w:rPr>
          <w:rFonts w:ascii="Times New Roman" w:hAnsi="Times New Roman" w:cs="Times New Roman"/>
        </w:rPr>
      </w:pPr>
    </w:p>
    <w:p>
      <w:pPr>
        <w:ind w:left="-420" w:leftChars="-200" w:right="-212" w:rightChars="-101" w:firstLine="420" w:firstLineChars="200"/>
        <w:rPr>
          <w:rFonts w:ascii="Times New Roman" w:hAnsi="Times New Roman" w:cs="Times New Roman"/>
        </w:rPr>
      </w:pPr>
    </w:p>
    <w:p>
      <w:pPr>
        <w:ind w:left="-420" w:leftChars="-200" w:right="-212" w:rightChars="-101" w:firstLine="420" w:firstLineChars="200"/>
        <w:rPr>
          <w:rFonts w:ascii="Times New Roman" w:hAnsi="Times New Roman" w:cs="Times New Roman"/>
        </w:rPr>
      </w:pPr>
    </w:p>
    <w:p>
      <w:pPr>
        <w:ind w:left="-420" w:leftChars="-200" w:right="-212" w:rightChars="-101" w:firstLine="420" w:firstLineChars="200"/>
        <w:rPr>
          <w:rFonts w:ascii="Times New Roman" w:hAnsi="Times New Roman" w:cs="Times New Roman"/>
        </w:rPr>
      </w:pPr>
    </w:p>
    <w:p>
      <w:pPr>
        <w:ind w:left="-420" w:leftChars="-200" w:right="-212" w:rightChars="-101" w:firstLine="420" w:firstLineChars="200"/>
        <w:rPr>
          <w:rFonts w:ascii="Times New Roman" w:hAnsi="Times New Roman" w:cs="Times New Roman"/>
        </w:rPr>
      </w:pPr>
    </w:p>
    <w:p>
      <w:pPr>
        <w:ind w:left="-420" w:leftChars="-200" w:right="-212" w:rightChars="-101" w:firstLine="420" w:firstLineChars="200"/>
        <w:rPr>
          <w:rFonts w:ascii="Times New Roman" w:hAnsi="Times New Roman" w:cs="Times New Roman"/>
        </w:rPr>
      </w:pPr>
    </w:p>
    <w:p>
      <w:pPr>
        <w:ind w:left="-420" w:leftChars="-200" w:right="-212" w:rightChars="-101" w:firstLine="420" w:firstLineChars="200"/>
        <w:rPr>
          <w:rFonts w:ascii="Times New Roman" w:hAnsi="Times New Roman" w:cs="Times New Roman"/>
        </w:rPr>
      </w:pPr>
    </w:p>
    <w:p>
      <w:pPr>
        <w:ind w:left="-420" w:leftChars="-200" w:right="-212" w:rightChars="-101" w:firstLine="420" w:firstLineChars="200"/>
        <w:rPr>
          <w:rFonts w:ascii="Times New Roman" w:hAnsi="Times New Roman" w:cs="Times New Roman"/>
        </w:rPr>
      </w:pPr>
    </w:p>
    <w:p>
      <w:pPr>
        <w:ind w:left="-420" w:leftChars="-200" w:right="-212" w:rightChars="-101" w:firstLine="420" w:firstLineChars="200"/>
        <w:rPr>
          <w:rFonts w:ascii="Times New Roman" w:hAnsi="Times New Roman" w:cs="Times New Roman"/>
        </w:rPr>
      </w:pPr>
    </w:p>
    <w:p>
      <w:pPr>
        <w:ind w:left="-420" w:leftChars="-200" w:right="-212" w:rightChars="-101" w:firstLine="420" w:firstLineChars="200"/>
        <w:rPr>
          <w:rFonts w:ascii="Times New Roman" w:hAnsi="Times New Roman" w:cs="Times New Roman"/>
        </w:rPr>
      </w:pPr>
    </w:p>
    <w:p>
      <w:pPr>
        <w:ind w:left="-420" w:leftChars="-200" w:right="-212" w:rightChars="-101"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 TJC: tender joint count;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DAS: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disease activity score; CRP: C-reactive protein; ESR: erythrocyte sedimentation rate; SDAI: simpl</w:t>
      </w:r>
      <w:r>
        <w:rPr>
          <w:rFonts w:hint="eastAsia" w:ascii="Times New Roman" w:hAnsi="Times New Roman" w:cs="Times New Roman"/>
        </w:rPr>
        <w:t>ified</w:t>
      </w:r>
      <w:r>
        <w:rPr>
          <w:rFonts w:ascii="Times New Roman" w:hAnsi="Times New Roman" w:cs="Times New Roman"/>
        </w:rPr>
        <w:t xml:space="preserve"> disease</w:t>
      </w:r>
      <w:r>
        <w:rPr>
          <w:rFonts w:hint="eastAsia"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activity index; CDAI: clinical disease activity index</w:t>
      </w:r>
      <w:r>
        <w:rPr>
          <w:rFonts w:hint="eastAsia"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>HAQ-DI: Health Assessment Questionnaire-Disability Index</w:t>
      </w:r>
      <w:r>
        <w:rPr>
          <w:rFonts w:hint="eastAsia" w:ascii="Times New Roman" w:hAnsi="Times New Roman" w:cs="Times New Roman"/>
        </w:rPr>
        <w:t>.</w:t>
      </w:r>
    </w:p>
    <w:p>
      <w:pPr>
        <w:ind w:left="-840" w:leftChars="-400" w:right="-1052" w:rightChars="-501" w:firstLine="729" w:firstLineChars="304"/>
        <w:rPr>
          <w:rFonts w:ascii="Times New Roman" w:hAnsi="Times New Roman" w:cs="Times New Roman"/>
          <w:bCs/>
          <w:sz w:val="24"/>
          <w:szCs w:val="24"/>
        </w:rPr>
      </w:pPr>
    </w:p>
    <w:p>
      <w:pPr>
        <w:ind w:left="-840" w:leftChars="-400" w:right="-1052" w:rightChars="-501" w:firstLine="638" w:firstLineChars="304"/>
        <w:rPr>
          <w:rFonts w:ascii="Times New Roman" w:hAnsi="Times New Roman" w:cs="Times New Roman"/>
        </w:rPr>
      </w:pPr>
    </w:p>
    <w:p>
      <w:pPr>
        <w:spacing w:line="360" w:lineRule="auto"/>
        <w:ind w:left="-420" w:leftChars="-200" w:right="-632" w:rightChars="-301" w:firstLine="480" w:firstLineChars="2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 xml:space="preserve">Table S3. Comparison of disease activity, HAQ-DI and EQ-5D for patients not relapsed </w:t>
      </w:r>
    </w:p>
    <w:p>
      <w:pPr>
        <w:spacing w:line="360" w:lineRule="auto"/>
        <w:ind w:left="-420" w:leftChars="-200" w:right="-632" w:rightChars="-301" w:firstLine="480" w:firstLineChars="2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>at the end of 60 weeks among three groups.</w:t>
      </w:r>
    </w:p>
    <w:tbl>
      <w:tblPr>
        <w:tblStyle w:val="4"/>
        <w:tblW w:w="0" w:type="auto"/>
        <w:tblInd w:w="-28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1926"/>
        <w:gridCol w:w="1936"/>
        <w:gridCol w:w="1926"/>
        <w:gridCol w:w="94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2156" w:type="dxa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 w:type="page"/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>roup A (n=12)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>roup B (n=13)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 xml:space="preserve">roup </w:t>
            </w: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 xml:space="preserve"> (n=3)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6" w:type="dxa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AS28-CRP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(mean</w:t>
            </w:r>
            <w:r>
              <w:rPr>
                <w:rFonts w:hint="eastAsia" w:ascii="Times New Roman" w:hAnsi="Times New Roman" w:cs="Times New Roman"/>
              </w:rPr>
              <w:t>±S</w:t>
            </w:r>
            <w:r>
              <w:rPr>
                <w:rFonts w:ascii="Times New Roman" w:hAnsi="Times New Roman" w:cs="Times New Roman"/>
              </w:rPr>
              <w:t>D)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.53</w:t>
            </w:r>
            <w:r>
              <w:rPr>
                <w:rFonts w:hint="eastAsia"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.08</w:t>
            </w:r>
            <w:r>
              <w:rPr>
                <w:rFonts w:hint="eastAsia"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.17</w:t>
            </w:r>
            <w:r>
              <w:rPr>
                <w:rFonts w:hint="eastAsia"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.523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6" w:type="dxa"/>
          </w:tcPr>
          <w:p>
            <w:pPr>
              <w:widowControl/>
              <w:jc w:val="left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hint="eastAsia" w:ascii="Times New Roman" w:hAnsi="Times New Roman" w:cs="Times New Roman"/>
                <w:lang w:val="de-DE"/>
              </w:rPr>
              <w:t>D</w:t>
            </w:r>
            <w:r>
              <w:rPr>
                <w:rFonts w:ascii="Times New Roman" w:hAnsi="Times New Roman" w:cs="Times New Roman"/>
                <w:lang w:val="de-DE"/>
              </w:rPr>
              <w:t>AS28-ESR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(mean</w:t>
            </w:r>
            <w:r>
              <w:rPr>
                <w:rFonts w:hint="eastAsia" w:ascii="Times New Roman" w:hAnsi="Times New Roman" w:cs="Times New Roman"/>
                <w:lang w:val="de-DE"/>
              </w:rPr>
              <w:t>±S</w:t>
            </w:r>
            <w:r>
              <w:rPr>
                <w:rFonts w:ascii="Times New Roman" w:hAnsi="Times New Roman" w:cs="Times New Roman"/>
                <w:lang w:val="de-DE"/>
              </w:rPr>
              <w:t>D)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.78</w:t>
            </w:r>
            <w:r>
              <w:rPr>
                <w:rFonts w:hint="eastAsia"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1.55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.26</w:t>
            </w:r>
            <w:r>
              <w:rPr>
                <w:rFonts w:hint="eastAsia"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.26</w:t>
            </w:r>
            <w:r>
              <w:rPr>
                <w:rFonts w:hint="eastAsia"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2.19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.438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6" w:type="dxa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DAI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</w:rPr>
              <w:t>(mean</w:t>
            </w:r>
            <w:r>
              <w:rPr>
                <w:rFonts w:hint="eastAsia" w:ascii="Times New Roman" w:hAnsi="Times New Roman" w:cs="Times New Roman"/>
              </w:rPr>
              <w:t>±S</w:t>
            </w:r>
            <w:r>
              <w:rPr>
                <w:rFonts w:ascii="Times New Roman" w:hAnsi="Times New Roman" w:cs="Times New Roman"/>
              </w:rPr>
              <w:t>D)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.20</w:t>
            </w:r>
            <w:r>
              <w:rPr>
                <w:rFonts w:hint="eastAsia"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11.25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.61</w:t>
            </w:r>
            <w:r>
              <w:rPr>
                <w:rFonts w:hint="eastAsia"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2.31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.00</w:t>
            </w:r>
            <w:r>
              <w:rPr>
                <w:rFonts w:hint="eastAsia"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4.58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.518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6" w:type="dxa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DAI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(mean</w:t>
            </w:r>
            <w:r>
              <w:rPr>
                <w:rFonts w:hint="eastAsia" w:ascii="Times New Roman" w:hAnsi="Times New Roman" w:cs="Times New Roman"/>
              </w:rPr>
              <w:t>±S</w:t>
            </w:r>
            <w:r>
              <w:rPr>
                <w:rFonts w:ascii="Times New Roman" w:hAnsi="Times New Roman" w:cs="Times New Roman"/>
              </w:rPr>
              <w:t>D)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.72</w:t>
            </w:r>
            <w:r>
              <w:rPr>
                <w:rFonts w:hint="eastAsia"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11.85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.04</w:t>
            </w:r>
            <w:r>
              <w:rPr>
                <w:rFonts w:hint="eastAsia"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2.37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.51</w:t>
            </w:r>
            <w:r>
              <w:rPr>
                <w:rFonts w:hint="eastAsia"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5.10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.629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6" w:type="dxa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AQ-DI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[median (min-max)]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(0-37)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(0-18)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(0-2)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.658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6" w:type="dxa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/>
              </w:rPr>
              <w:t>Q-5D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[median (min-max)]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.961 (0.321-0.961)</w:t>
            </w:r>
          </w:p>
        </w:tc>
        <w:tc>
          <w:tcPr>
            <w:tcW w:w="19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.961 (0.530-0.961)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.862 (0.610-0.869)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.277</w:t>
            </w:r>
          </w:p>
        </w:tc>
      </w:tr>
    </w:tbl>
    <w:p>
      <w:pPr>
        <w:ind w:left="-420" w:leftChars="-200" w:right="-212" w:rightChars="-101"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 DAS: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disease activity score; CRP: C-reactive protein; ESR: erythrocyte sedimentation rate; SDAI: simpl</w:t>
      </w:r>
      <w:r>
        <w:rPr>
          <w:rFonts w:hint="eastAsia" w:ascii="Times New Roman" w:hAnsi="Times New Roman" w:cs="Times New Roman"/>
        </w:rPr>
        <w:t>ified</w:t>
      </w:r>
      <w:r>
        <w:rPr>
          <w:rFonts w:ascii="Times New Roman" w:hAnsi="Times New Roman" w:cs="Times New Roman"/>
        </w:rPr>
        <w:t xml:space="preserve"> disease</w:t>
      </w:r>
      <w:r>
        <w:rPr>
          <w:rFonts w:hint="eastAsia"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activity index; CDAI: clinical disease activity index</w:t>
      </w:r>
      <w:r>
        <w:rPr>
          <w:rFonts w:hint="eastAsia"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>HAQ-DI: Health Assessment Questionnaire-Disability Index</w:t>
      </w:r>
      <w:r>
        <w:rPr>
          <w:rFonts w:hint="eastAsia" w:ascii="Times New Roman" w:hAnsi="Times New Roman" w:cs="Times New Roman"/>
        </w:rPr>
        <w:t>; E</w:t>
      </w:r>
      <w:r>
        <w:rPr>
          <w:rFonts w:ascii="Times New Roman" w:hAnsi="Times New Roman" w:cs="Times New Roman"/>
        </w:rPr>
        <w:t>Q-5D</w:t>
      </w:r>
      <w:r>
        <w:rPr>
          <w:rFonts w:hint="eastAsia"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Euro Qol five dimensions questionnaire</w:t>
      </w:r>
      <w:r>
        <w:rPr>
          <w:rFonts w:hint="eastAsia" w:ascii="Times New Roman" w:hAnsi="Times New Roman" w:cs="Times New Roman"/>
        </w:rPr>
        <w:t>.</w:t>
      </w: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spacing w:line="360" w:lineRule="auto"/>
        <w:ind w:left="-420" w:leftChars="-200" w:right="-632" w:rightChars="-301" w:firstLine="1058" w:firstLineChars="441"/>
        <w:rPr>
          <w:rFonts w:ascii="Times New Roman" w:hAnsi="Times New Roman" w:cs="Times New Roman"/>
          <w:bCs/>
          <w:sz w:val="24"/>
          <w:szCs w:val="24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 xml:space="preserve">Table S4. Comparison of proportion of patients with subclinical synovitis </w:t>
      </w:r>
    </w:p>
    <w:p>
      <w:pPr>
        <w:spacing w:line="360" w:lineRule="auto"/>
        <w:ind w:left="-420" w:leftChars="-200" w:right="-632" w:rightChars="-301" w:firstLine="1058" w:firstLineChars="441"/>
        <w:rPr>
          <w:rFonts w:ascii="Times New Roman" w:hAnsi="Times New Roman" w:cs="Times New Roman"/>
          <w:bCs/>
          <w:sz w:val="24"/>
          <w:szCs w:val="24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>between at randomization and the end of study in the three groups.</w:t>
      </w:r>
    </w:p>
    <w:tbl>
      <w:tblPr>
        <w:tblStyle w:val="3"/>
        <w:tblpPr w:leftFromText="180" w:rightFromText="180" w:vertAnchor="text" w:horzAnchor="page" w:tblpX="2323" w:tblpY="128"/>
        <w:tblOverlap w:val="never"/>
        <w:tblW w:w="434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015"/>
        <w:gridCol w:w="1097"/>
        <w:gridCol w:w="1098"/>
        <w:gridCol w:w="1097"/>
        <w:gridCol w:w="1097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69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Patients with PD≥0</w:t>
            </w:r>
          </w:p>
        </w:tc>
        <w:tc>
          <w:tcPr>
            <w:tcW w:w="213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Patients with GS≥1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69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Week0 </w:t>
            </w:r>
          </w:p>
        </w:tc>
        <w:tc>
          <w:tcPr>
            <w:tcW w:w="74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Week60</w:t>
            </w:r>
          </w:p>
        </w:tc>
        <w:tc>
          <w:tcPr>
            <w:tcW w:w="74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 value</w:t>
            </w:r>
          </w:p>
        </w:tc>
        <w:tc>
          <w:tcPr>
            <w:tcW w:w="74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Week0</w:t>
            </w:r>
          </w:p>
        </w:tc>
        <w:tc>
          <w:tcPr>
            <w:tcW w:w="74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Week60</w:t>
            </w:r>
          </w:p>
        </w:tc>
        <w:tc>
          <w:tcPr>
            <w:tcW w:w="64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Group A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(n=17)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5/17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3/8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1.000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12/17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5/8</w:t>
            </w:r>
          </w:p>
        </w:tc>
        <w:tc>
          <w:tcPr>
            <w:tcW w:w="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Group B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(n=16)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12/16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0/10 (0%)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0.000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13/16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6/10</w:t>
            </w:r>
          </w:p>
        </w:tc>
        <w:tc>
          <w:tcPr>
            <w:tcW w:w="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Group C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(n=15)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8/15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0/2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0.095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10/15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1/2</w:t>
            </w:r>
          </w:p>
        </w:tc>
        <w:tc>
          <w:tcPr>
            <w:tcW w:w="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1.000</w:t>
            </w:r>
          </w:p>
        </w:tc>
      </w:tr>
    </w:tbl>
    <w:p>
      <w:pPr>
        <w:ind w:left="630" w:leftChars="300" w:firstLine="105" w:firstLineChars="5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Note</w:t>
      </w:r>
      <w:r>
        <w:rPr>
          <w:rFonts w:ascii="Times New Roman" w:hAnsi="Times New Roman" w:cs="Times New Roman"/>
        </w:rPr>
        <w:t xml:space="preserve">: </w:t>
      </w:r>
      <w:r>
        <w:rPr>
          <w:rFonts w:hint="eastAsia" w:ascii="Times New Roman" w:hAnsi="Times New Roman" w:cs="Times New Roman"/>
        </w:rPr>
        <w:t xml:space="preserve">PD: power </w:t>
      </w:r>
      <w:r>
        <w:rPr>
          <w:rFonts w:ascii="Times New Roman" w:hAnsi="Times New Roman" w:cs="Times New Roman"/>
        </w:rPr>
        <w:t>Doppler</w:t>
      </w:r>
      <w:r>
        <w:rPr>
          <w:rFonts w:hint="eastAsia" w:ascii="Times New Roman" w:hAnsi="Times New Roman" w:cs="Times New Roman"/>
        </w:rPr>
        <w:t>; GS: gray scale</w:t>
      </w:r>
    </w:p>
    <w:p>
      <w:pPr>
        <w:rPr>
          <w:rFonts w:ascii="Times New Roman" w:hAnsi="Times New Roman" w:cs="Times New Roman"/>
          <w:bCs/>
          <w:sz w:val="24"/>
          <w:szCs w:val="24"/>
        </w:rPr>
      </w:pPr>
    </w:p>
    <w:p>
      <w:pPr>
        <w:rPr>
          <w:rFonts w:ascii="Times New Roman" w:hAnsi="Times New Roman" w:cs="Times New Roman"/>
          <w:bCs/>
          <w:sz w:val="24"/>
          <w:szCs w:val="24"/>
        </w:rPr>
      </w:pPr>
    </w:p>
    <w:p>
      <w:pPr>
        <w:rPr>
          <w:rFonts w:ascii="Times New Roman" w:hAnsi="Times New Roman" w:cs="Times New Roman"/>
          <w:bCs/>
          <w:sz w:val="24"/>
          <w:szCs w:val="24"/>
        </w:rPr>
      </w:pPr>
    </w:p>
    <w:p>
      <w:pPr>
        <w:ind w:firstLine="1680" w:firstLineChars="7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Cs/>
          <w:sz w:val="24"/>
          <w:szCs w:val="24"/>
        </w:rPr>
        <w:t>S5</w:t>
      </w:r>
      <w:r>
        <w:rPr>
          <w:rFonts w:hint="eastAsia" w:ascii="Times New Roman" w:hAnsi="Times New Roman" w:cs="Times New Roman"/>
          <w:bCs/>
          <w:sz w:val="24"/>
          <w:szCs w:val="24"/>
        </w:rPr>
        <w:t>. Change of ultrasound scores among the three groups.</w:t>
      </w:r>
    </w:p>
    <w:tbl>
      <w:tblPr>
        <w:tblStyle w:val="3"/>
        <w:tblpPr w:leftFromText="180" w:rightFromText="180" w:vertAnchor="text" w:horzAnchor="page" w:tblpX="2393" w:tblpY="7"/>
        <w:tblOverlap w:val="never"/>
        <w:tblW w:w="442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152"/>
        <w:gridCol w:w="1234"/>
        <w:gridCol w:w="1099"/>
        <w:gridCol w:w="958"/>
        <w:gridCol w:w="1099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total PD score</w:t>
            </w:r>
          </w:p>
        </w:tc>
        <w:tc>
          <w:tcPr>
            <w:tcW w:w="200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total GS 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Week 0</w:t>
            </w:r>
          </w:p>
        </w:tc>
        <w:tc>
          <w:tcPr>
            <w:tcW w:w="8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Week 60 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 value</w:t>
            </w:r>
          </w:p>
        </w:tc>
        <w:tc>
          <w:tcPr>
            <w:tcW w:w="6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Week 0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Week 60 </w:t>
            </w: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Group A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(n=17)</w:t>
            </w: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 (0-4)</w:t>
            </w:r>
          </w:p>
        </w:tc>
        <w:tc>
          <w:tcPr>
            <w:tcW w:w="8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 (0-3)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0.842</w:t>
            </w:r>
          </w:p>
        </w:tc>
        <w:tc>
          <w:tcPr>
            <w:tcW w:w="6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4 (0-15)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3 (0-4)</w:t>
            </w: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Group B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(n=16)</w:t>
            </w: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1.5 (0-27)</w:t>
            </w:r>
          </w:p>
        </w:tc>
        <w:tc>
          <w:tcPr>
            <w:tcW w:w="8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 (0-0)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0.001</w:t>
            </w:r>
          </w:p>
        </w:tc>
        <w:tc>
          <w:tcPr>
            <w:tcW w:w="6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 (0-40)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 (0-6)</w:t>
            </w: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Group C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(n=15)</w:t>
            </w: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1 (1-5)</w:t>
            </w:r>
          </w:p>
        </w:tc>
        <w:tc>
          <w:tcPr>
            <w:tcW w:w="8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 (0-0)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0.294</w:t>
            </w:r>
          </w:p>
        </w:tc>
        <w:tc>
          <w:tcPr>
            <w:tcW w:w="6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2 (2-23)</w:t>
            </w:r>
          </w:p>
        </w:tc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1 (0-2)</w:t>
            </w: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21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</w:rPr>
              <w:t>0.618</w:t>
            </w:r>
          </w:p>
        </w:tc>
      </w:tr>
    </w:tbl>
    <w:p>
      <w:pPr>
        <w:ind w:firstLine="630" w:firstLineChars="3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</w:rPr>
        <w:t>N</w:t>
      </w:r>
      <w:r>
        <w:rPr>
          <w:rFonts w:hint="eastAsia" w:ascii="Times New Roman" w:hAnsi="Times New Roman" w:cs="Times New Roman"/>
        </w:rPr>
        <w:t>ote</w:t>
      </w:r>
      <w:r>
        <w:rPr>
          <w:rFonts w:ascii="Times New Roman" w:hAnsi="Times New Roman" w:cs="Times New Roman"/>
        </w:rPr>
        <w:t xml:space="preserve">: </w:t>
      </w:r>
      <w:r>
        <w:rPr>
          <w:rFonts w:hint="eastAsia" w:ascii="Times New Roman" w:hAnsi="Times New Roman" w:cs="Times New Roman"/>
        </w:rPr>
        <w:t xml:space="preserve">PD: power </w:t>
      </w:r>
      <w:r>
        <w:rPr>
          <w:rFonts w:ascii="Times New Roman" w:hAnsi="Times New Roman" w:cs="Times New Roman"/>
        </w:rPr>
        <w:t>Doppler</w:t>
      </w:r>
      <w:r>
        <w:rPr>
          <w:rFonts w:hint="eastAsia" w:ascii="Times New Roman" w:hAnsi="Times New Roman" w:cs="Times New Roman"/>
        </w:rPr>
        <w:t>; GS: gray scale</w:t>
      </w:r>
    </w:p>
    <w:p>
      <w:pPr>
        <w:rPr>
          <w:rFonts w:ascii="Times New Roman" w:hAnsi="Times New Roman" w:cs="Times New Roman"/>
          <w:bCs/>
          <w:sz w:val="24"/>
          <w:szCs w:val="24"/>
        </w:rPr>
      </w:pPr>
    </w:p>
    <w:p>
      <w:pPr>
        <w:spacing w:line="360" w:lineRule="auto"/>
        <w:ind w:left="-420" w:leftChars="-200" w:right="-632" w:rightChars="-301" w:firstLine="480" w:firstLineChars="200"/>
        <w:rPr>
          <w:rFonts w:ascii="Times New Roman" w:hAnsi="Times New Roman" w:cs="Times New Roman"/>
          <w:bCs/>
          <w:sz w:val="24"/>
          <w:szCs w:val="24"/>
        </w:rPr>
      </w:pPr>
    </w:p>
    <w:p>
      <w:pPr>
        <w:tabs>
          <w:tab w:val="left" w:pos="5040"/>
        </w:tabs>
        <w:spacing w:line="360" w:lineRule="auto"/>
        <w:ind w:left="-420" w:leftChars="-200" w:right="-632" w:rightChars="-301" w:firstLine="480" w:firstLineChars="200"/>
        <w:rPr>
          <w:rFonts w:ascii="Times New Roman" w:hAnsi="Times New Roman" w:cs="Times New Roman"/>
          <w:bCs/>
          <w:sz w:val="24"/>
          <w:szCs w:val="24"/>
        </w:rPr>
      </w:pPr>
    </w:p>
    <w:p>
      <w:pPr>
        <w:tabs>
          <w:tab w:val="left" w:pos="5040"/>
        </w:tabs>
        <w:spacing w:line="360" w:lineRule="auto"/>
        <w:ind w:left="-420" w:leftChars="-200" w:right="-632" w:rightChars="-301" w:firstLine="480" w:firstLineChars="200"/>
        <w:rPr>
          <w:rFonts w:ascii="Times New Roman" w:hAnsi="Times New Roman" w:cs="Times New Roman"/>
          <w:bCs/>
          <w:sz w:val="24"/>
          <w:szCs w:val="24"/>
        </w:rPr>
      </w:pPr>
    </w:p>
    <w:p>
      <w:pPr>
        <w:tabs>
          <w:tab w:val="left" w:pos="5040"/>
        </w:tabs>
        <w:spacing w:line="360" w:lineRule="auto"/>
        <w:ind w:left="-420" w:leftChars="-200" w:right="-632" w:rightChars="-301" w:firstLine="480" w:firstLineChars="200"/>
        <w:rPr>
          <w:rFonts w:ascii="Times New Roman" w:hAnsi="Times New Roman" w:cs="Times New Roman"/>
          <w:bCs/>
          <w:sz w:val="24"/>
          <w:szCs w:val="24"/>
        </w:rPr>
      </w:pPr>
    </w:p>
    <w:p>
      <w:pPr>
        <w:tabs>
          <w:tab w:val="left" w:pos="5040"/>
        </w:tabs>
        <w:spacing w:line="360" w:lineRule="auto"/>
        <w:ind w:left="-420" w:leftChars="-200" w:right="-632" w:rightChars="-301" w:firstLine="480" w:firstLineChars="200"/>
        <w:rPr>
          <w:rFonts w:ascii="Times New Roman" w:hAnsi="Times New Roman" w:cs="Times New Roman"/>
          <w:bCs/>
          <w:sz w:val="24"/>
          <w:szCs w:val="24"/>
        </w:rPr>
      </w:pPr>
    </w:p>
    <w:p>
      <w:pPr>
        <w:tabs>
          <w:tab w:val="left" w:pos="5040"/>
        </w:tabs>
        <w:spacing w:line="360" w:lineRule="auto"/>
        <w:ind w:left="-420" w:leftChars="-200" w:right="-632" w:rightChars="-301" w:firstLine="480" w:firstLineChars="200"/>
        <w:rPr>
          <w:rFonts w:ascii="Times New Roman" w:hAnsi="Times New Roman" w:cs="Times New Roman"/>
          <w:bCs/>
          <w:sz w:val="24"/>
          <w:szCs w:val="24"/>
        </w:rPr>
      </w:pPr>
    </w:p>
    <w:p>
      <w:pPr>
        <w:tabs>
          <w:tab w:val="left" w:pos="5040"/>
        </w:tabs>
        <w:spacing w:line="360" w:lineRule="auto"/>
        <w:ind w:left="-420" w:leftChars="-200" w:right="-632" w:rightChars="-301" w:firstLine="480" w:firstLineChars="200"/>
        <w:rPr>
          <w:rFonts w:ascii="Times New Roman" w:hAnsi="Times New Roman" w:cs="Times New Roman"/>
          <w:bCs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Cs/>
          <w:sz w:val="24"/>
          <w:szCs w:val="24"/>
        </w:rPr>
        <w:t>S6</w:t>
      </w:r>
      <w:r>
        <w:rPr>
          <w:rFonts w:hint="eastAsia" w:ascii="Times New Roman" w:hAnsi="Times New Roman" w:cs="Times New Roman"/>
          <w:bCs/>
          <w:sz w:val="24"/>
          <w:szCs w:val="24"/>
        </w:rPr>
        <w:t xml:space="preserve">. Cost-effectiveness </w:t>
      </w:r>
      <w:r>
        <w:rPr>
          <w:rFonts w:ascii="Times New Roman" w:hAnsi="Times New Roman" w:cs="Times New Roman"/>
          <w:sz w:val="24"/>
          <w:szCs w:val="24"/>
        </w:rPr>
        <w:t>analysis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Cs/>
          <w:sz w:val="24"/>
          <w:szCs w:val="24"/>
        </w:rPr>
        <w:t>of the three groups.</w:t>
      </w:r>
    </w:p>
    <w:tbl>
      <w:tblPr>
        <w:tblStyle w:val="3"/>
        <w:tblpPr w:leftFromText="180" w:rightFromText="180" w:vertAnchor="text" w:horzAnchor="margin" w:tblpY="291"/>
        <w:tblOverlap w:val="never"/>
        <w:tblW w:w="543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216"/>
        <w:gridCol w:w="820"/>
        <w:gridCol w:w="1056"/>
        <w:gridCol w:w="1700"/>
        <w:gridCol w:w="807"/>
        <w:gridCol w:w="1270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Probability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of not relapse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Direct costs,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¥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C/E, direct costs</w:t>
            </w:r>
          </w:p>
        </w:tc>
        <w:tc>
          <w:tcPr>
            <w:tcW w:w="9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ICER, direct costs,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¥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/relapse rate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Total costs,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¥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C/E, total costs</w:t>
            </w:r>
          </w:p>
        </w:tc>
        <w:tc>
          <w:tcPr>
            <w:tcW w:w="8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ICER, total costs,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¥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/relapse rate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Group A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(n=24)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0.55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20459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37198</w:t>
            </w:r>
          </w:p>
        </w:tc>
        <w:tc>
          <w:tcPr>
            <w:tcW w:w="9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7141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21146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38447</w:t>
            </w:r>
          </w:p>
        </w:tc>
        <w:tc>
          <w:tcPr>
            <w:tcW w:w="8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7626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Group B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(n=21)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0.65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61069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93952</w:t>
            </w:r>
          </w:p>
        </w:tc>
        <w:tc>
          <w:tcPr>
            <w:tcW w:w="9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406095*/86934**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62567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96257</w:t>
            </w:r>
          </w:p>
        </w:tc>
        <w:tc>
          <w:tcPr>
            <w:tcW w:w="8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414205*/88862**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Group C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(n=22)</w:t>
            </w:r>
          </w:p>
        </w:tc>
        <w:tc>
          <w:tcPr>
            <w:tcW w:w="6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</w:tc>
        <w:tc>
          <w:tcPr>
            <w:tcW w:w="4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17602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117347</w:t>
            </w:r>
          </w:p>
        </w:tc>
        <w:tc>
          <w:tcPr>
            <w:tcW w:w="9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18136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120907</w:t>
            </w:r>
          </w:p>
        </w:tc>
        <w:tc>
          <w:tcPr>
            <w:tcW w:w="8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18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widowControl/>
        <w:ind w:right="-212" w:rightChars="-101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 </w:t>
      </w:r>
      <w:r>
        <w:rPr>
          <w:rFonts w:hint="eastAsia" w:ascii="Times New Roman" w:hAnsi="Times New Roman" w:cs="Times New Roman"/>
        </w:rPr>
        <w:t xml:space="preserve">ICER:incremental </w:t>
      </w:r>
      <w:r>
        <w:rPr>
          <w:rFonts w:ascii="Times New Roman" w:hAnsi="Times New Roman" w:cs="Times New Roman"/>
        </w:rPr>
        <w:t>cost-effectiveness ratio</w:t>
      </w:r>
      <w:r>
        <w:rPr>
          <w:rFonts w:hint="eastAsia" w:ascii="Times New Roman" w:hAnsi="Times New Roman" w:cs="Times New Roman"/>
        </w:rPr>
        <w:t>; C/E: cost effectiveness ratio.*ICER against group B, **ICER against group C.</w:t>
      </w:r>
    </w:p>
    <w:p>
      <w:pPr>
        <w:widowControl/>
        <w:ind w:right="-212" w:rightChars="-101"/>
        <w:jc w:val="left"/>
        <w:rPr>
          <w:rFonts w:ascii="Times New Roman" w:hAnsi="Times New Roman" w:cs="Times New Roman"/>
        </w:rPr>
      </w:pPr>
    </w:p>
    <w:p>
      <w:pPr>
        <w:widowControl/>
        <w:ind w:right="-212" w:rightChars="-101"/>
        <w:jc w:val="left"/>
        <w:rPr>
          <w:rFonts w:ascii="Times New Roman" w:hAnsi="Times New Roman" w:cs="Times New Roman"/>
        </w:rPr>
      </w:pPr>
    </w:p>
    <w:p>
      <w:pPr>
        <w:widowControl/>
        <w:ind w:right="-212" w:rightChars="-101"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hint="eastAsia" w:ascii="Times New Roman" w:hAnsi="Times New Roman" w:cs="Times New Roman"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Cs/>
          <w:sz w:val="24"/>
          <w:szCs w:val="24"/>
        </w:rPr>
        <w:t>S7</w:t>
      </w:r>
      <w:r>
        <w:rPr>
          <w:rFonts w:hint="eastAsia" w:ascii="Times New Roman" w:hAnsi="Times New Roman" w:cs="Times New Roman"/>
          <w:bCs/>
          <w:sz w:val="24"/>
          <w:szCs w:val="24"/>
        </w:rPr>
        <w:t>. Cost-utility a</w:t>
      </w:r>
      <w:r>
        <w:rPr>
          <w:rFonts w:ascii="Times New Roman" w:hAnsi="Times New Roman" w:cs="Times New Roman"/>
          <w:sz w:val="24"/>
          <w:szCs w:val="24"/>
        </w:rPr>
        <w:t>nalysis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Cs/>
          <w:sz w:val="24"/>
          <w:szCs w:val="24"/>
        </w:rPr>
        <w:t>of the three groups.</w:t>
      </w:r>
    </w:p>
    <w:tbl>
      <w:tblPr>
        <w:tblStyle w:val="3"/>
        <w:tblpPr w:leftFromText="180" w:rightFromText="180" w:vertAnchor="text" w:horzAnchor="margin" w:tblpX="1" w:tblpY="228"/>
        <w:tblOverlap w:val="never"/>
        <w:tblW w:w="54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968"/>
        <w:gridCol w:w="1055"/>
        <w:gridCol w:w="1023"/>
        <w:gridCol w:w="1523"/>
        <w:gridCol w:w="1001"/>
        <w:gridCol w:w="1295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QALYs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(60 weeks)</w:t>
            </w: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Direct costs, ¥</w:t>
            </w:r>
          </w:p>
        </w:tc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C/U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 direct costs</w:t>
            </w:r>
          </w:p>
        </w:tc>
        <w:tc>
          <w:tcPr>
            <w:tcW w:w="8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ICUR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 direct costs</w:t>
            </w:r>
            <w:r>
              <w:rPr>
                <w:rFonts w:hint="eastAsia" w:ascii="Times New Roman" w:hAnsi="Times New Roman" w:cs="Times New Roman"/>
                <w:sz w:val="18"/>
                <w:szCs w:val="20"/>
              </w:rPr>
              <w:t>, ¥/QALY</w:t>
            </w: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Total costs, ¥</w:t>
            </w:r>
          </w:p>
        </w:tc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C/U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, </w:t>
            </w:r>
            <w:r>
              <w:rPr>
                <w:rFonts w:hint="eastAsia" w:ascii="Times New Roman" w:hAnsi="Times New Roman" w:cs="Times New Roman"/>
                <w:sz w:val="18"/>
                <w:szCs w:val="20"/>
              </w:rPr>
              <w:t>total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costs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ICUR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, </w:t>
            </w:r>
            <w:r>
              <w:rPr>
                <w:rFonts w:hint="eastAsia" w:ascii="Times New Roman" w:hAnsi="Times New Roman" w:cs="Times New Roman"/>
                <w:sz w:val="18"/>
                <w:szCs w:val="20"/>
              </w:rPr>
              <w:t>total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costs</w:t>
            </w:r>
            <w:r>
              <w:rPr>
                <w:rFonts w:hint="eastAsia" w:ascii="Times New Roman" w:hAnsi="Times New Roman" w:cs="Times New Roman"/>
                <w:sz w:val="18"/>
                <w:szCs w:val="20"/>
              </w:rPr>
              <w:t>, ¥/QALY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Group A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(n=24)</w:t>
            </w:r>
          </w:p>
        </w:tc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0.67775</w:t>
            </w: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20459</w:t>
            </w:r>
          </w:p>
        </w:tc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30187</w:t>
            </w:r>
          </w:p>
        </w:tc>
        <w:tc>
          <w:tcPr>
            <w:tcW w:w="8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10383.69</w:t>
            </w: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21146</w:t>
            </w:r>
          </w:p>
        </w:tc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31200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10944.41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Group B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(n=21)</w:t>
            </w:r>
          </w:p>
        </w:tc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0.69085</w:t>
            </w: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61069</w:t>
            </w:r>
          </w:p>
        </w:tc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88367</w:t>
            </w:r>
          </w:p>
        </w:tc>
        <w:tc>
          <w:tcPr>
            <w:tcW w:w="8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3097597.25*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/150822.35**</w:t>
            </w: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62567</w:t>
            </w:r>
          </w:p>
        </w:tc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90565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3159454.61*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/154167.25**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Group C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hint="eastAsia" w:ascii="Times New Roman" w:hAnsi="Times New Roman" w:cs="Times New Roman"/>
                <w:sz w:val="18"/>
                <w:szCs w:val="20"/>
              </w:rPr>
              <w:t>(n=22)</w:t>
            </w:r>
          </w:p>
        </w:tc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0.40265</w:t>
            </w:r>
          </w:p>
        </w:tc>
        <w:tc>
          <w:tcPr>
            <w:tcW w:w="5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17602</w:t>
            </w:r>
          </w:p>
        </w:tc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43715</w:t>
            </w:r>
          </w:p>
        </w:tc>
        <w:tc>
          <w:tcPr>
            <w:tcW w:w="8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0</w:t>
            </w: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18136</w:t>
            </w:r>
          </w:p>
        </w:tc>
        <w:tc>
          <w:tcPr>
            <w:tcW w:w="6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45041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20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18"/>
                <w:szCs w:val="20"/>
              </w:rPr>
              <w:t>0</w:t>
            </w:r>
          </w:p>
        </w:tc>
      </w:tr>
    </w:tbl>
    <w:p>
      <w:pPr>
        <w:widowControl/>
        <w:ind w:right="-212" w:rightChars="-101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 </w:t>
      </w:r>
      <w:r>
        <w:rPr>
          <w:rFonts w:hint="eastAsia" w:ascii="Times New Roman" w:hAnsi="Times New Roman" w:cs="Times New Roman"/>
        </w:rPr>
        <w:t>ICUR: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 xml:space="preserve">incremental </w:t>
      </w:r>
      <w:r>
        <w:rPr>
          <w:rFonts w:ascii="Times New Roman" w:hAnsi="Times New Roman" w:cs="Times New Roman"/>
        </w:rPr>
        <w:t>cost-</w:t>
      </w:r>
      <w:r>
        <w:rPr>
          <w:rFonts w:hint="eastAsia" w:ascii="Times New Roman" w:hAnsi="Times New Roman" w:cs="Times New Roman"/>
        </w:rPr>
        <w:t>utility</w:t>
      </w:r>
      <w:r>
        <w:rPr>
          <w:rFonts w:ascii="Times New Roman" w:hAnsi="Times New Roman" w:cs="Times New Roman"/>
        </w:rPr>
        <w:t xml:space="preserve"> ratio</w:t>
      </w:r>
      <w:r>
        <w:rPr>
          <w:rFonts w:hint="eastAsia" w:ascii="Times New Roman" w:hAnsi="Times New Roman" w:cs="Times New Roman"/>
        </w:rPr>
        <w:t>; C/U: cost utility ratio; QALY: quality-adjusted life years. *ICUR against group B, **ICUR against group C.</w:t>
      </w:r>
    </w:p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2B7CBC"/>
    <w:rsid w:val="703C179F"/>
    <w:rsid w:val="73F377A5"/>
    <w:rsid w:val="792E2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2021-02-21T01:41:00Z</dcterms:created>
  <dc:creator>think</dc:creator>
  <cp:lastModifiedBy>think</cp:lastModifiedBy>
  <dcterms:modified xsi:type="dcterms:W3CDTF">2021-05-31T03:11:08Z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