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bookmarkStart w:id="0" w:name="_GoBack"/>
      <w:bookmarkEnd w:id="0"/>
      <w:r>
        <w:drawing>
          <wp:inline distT="0" distB="0" distL="0" distR="0">
            <wp:extent cx="5337810" cy="3887470"/>
            <wp:effectExtent l="0" t="0" r="152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388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Figure 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>1. The flow-chart of the study</w:t>
      </w:r>
      <w:r>
        <w:rPr>
          <w:sz w:val="24"/>
          <w:szCs w:val="24"/>
        </w:rPr>
        <w:t>.</w:t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t xml:space="preserve">Note:  For patients who relapsed during follow up, the study treatment was stopped and patients were referred to appropriate alternative treatments and followed up for cost data collection. csDMARDs: </w:t>
      </w:r>
      <w:r>
        <w:rPr>
          <w:rFonts w:hint="eastAsia"/>
        </w:rPr>
        <w:t>conventional synthetic disease-modifying antirheumatic drugs</w:t>
      </w:r>
      <w:r>
        <w:t xml:space="preserve">; MTX: methotrexate; CR: clinical remission; LDA: low disease activity;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  <w:r>
        <w:rPr>
          <w:rFonts w:hint="eastAsia"/>
        </w:rPr>
        <w:t> </w:t>
      </w:r>
    </w:p>
    <w:p>
      <w:r>
        <w:rPr>
          <w:rFonts w:hint="eastAsia"/>
        </w:rPr>
        <w:br w:type="page"/>
      </w:r>
    </w:p>
    <w:p>
      <w:r>
        <w:drawing>
          <wp:inline distT="0" distB="0" distL="0" distR="0">
            <wp:extent cx="4592320" cy="2846070"/>
            <wp:effectExtent l="0" t="0" r="17780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6265" cy="285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rPr>
          <w:rFonts w:hint="eastAsia"/>
          <w:sz w:val="24"/>
          <w:szCs w:val="24"/>
        </w:rPr>
        <w:t>Figure S2. The decision tree model of the study.</w:t>
      </w:r>
      <w:r>
        <w:t xml:space="preserve"> RA: Rheumatoid Arthritis; MTX: methotrexate;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</w:p>
    <w:p>
      <w:pPr>
        <w:spacing w:line="360" w:lineRule="auto"/>
        <w:ind w:right="-632" w:rightChars="-301"/>
        <w:rPr>
          <w:rFonts w:ascii="Times New Roman" w:hAnsi="Times New Roman" w:cs="Times New Roman"/>
          <w:bCs/>
          <w:sz w:val="24"/>
          <w:szCs w:val="24"/>
        </w:rPr>
      </w:pPr>
    </w:p>
    <w:p>
      <w:pPr>
        <w:pStyle w:val="6"/>
        <w:autoSpaceDE w:val="0"/>
        <w:autoSpaceDN w:val="0"/>
        <w:adjustRightInd w:val="0"/>
        <w:spacing w:line="360" w:lineRule="auto"/>
        <w:ind w:right="-212" w:rightChars="-101" w:firstLine="0" w:firstLineChars="0"/>
        <w:jc w:val="lef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4907280</wp:posOffset>
                </wp:positionH>
                <wp:positionV relativeFrom="paragraph">
                  <wp:posOffset>1320800</wp:posOffset>
                </wp:positionV>
                <wp:extent cx="247650" cy="266700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</w:rPr>
                              <w:t>B</w:t>
                            </w:r>
                          </w:p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6.4pt;margin-top:104pt;height:21pt;width:19.5pt;z-index:251659264;mso-width-relative:page;mso-height-relative:page;" fillcolor="#FFFFFF [3201]" filled="t" stroked="f" coordsize="21600,21600" o:gfxdata="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DcS6PrVAAAACwEAAA8AAAAA&#10;AAAAAQAgAAAAIgAAAGRycy9kb3ducmV2LnhtbFBLAQIUABQAAAAIAIdO4kB+egX5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</w:rPr>
                        <w:t>B</w:t>
                      </w:r>
                    </w:p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2183130</wp:posOffset>
                </wp:positionH>
                <wp:positionV relativeFrom="paragraph">
                  <wp:posOffset>1327150</wp:posOffset>
                </wp:positionV>
                <wp:extent cx="247650" cy="26670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54680" y="6532880"/>
                          <a:ext cx="2476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</w:p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9pt;margin-top:104.5pt;height:21pt;width:19.5pt;z-index:251658240;mso-width-relative:page;mso-height-relative:page;" fillcolor="#FFFFFF [3201]" filled="t" stroked="f" coordsize="21600,21600" o:gfxdata="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g7VWqNYA&#10;AAALAQAADwAAAAAAAAABACAAAAAiAAAAZHJzL2Rvd25yZXYueG1sUEsBAhQAFAAAAAgAh07iQMVU&#10;oTBaAgAAnA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A</w:t>
                      </w:r>
                    </w:p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762885" cy="1659890"/>
            <wp:effectExtent l="0" t="0" r="18415" b="16510"/>
            <wp:docPr id="11" name="4" descr="slide1_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" descr="slide1_image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37790" cy="1584960"/>
            <wp:effectExtent l="0" t="0" r="10160" b="15240"/>
            <wp:docPr id="12" name="4" descr="slide1_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" descr="slide1_image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rPr>
          <w:rFonts w:hint="eastAsia"/>
          <w:sz w:val="24"/>
          <w:szCs w:val="24"/>
        </w:rPr>
        <w:t xml:space="preserve">Figure S3. Direct cost-effectiveness analysis (A) and total cost-effectiveness analysis (B) . </w:t>
      </w:r>
      <w:r>
        <w:t xml:space="preserve">MTX: methotrexate;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drawing>
          <wp:inline distT="0" distB="0" distL="114300" distR="114300">
            <wp:extent cx="5133340" cy="2269490"/>
            <wp:effectExtent l="0" t="0" r="10160" b="1651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rPr>
          <w:rFonts w:hint="eastAsia"/>
          <w:sz w:val="24"/>
          <w:szCs w:val="24"/>
        </w:rPr>
        <w:t>Figure S4. tornado chart of one-way sensitivity analysis of cost of each drug.</w:t>
      </w:r>
      <w:r>
        <w:t xml:space="preserve"> MTX: methotrexate;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drawing>
          <wp:inline distT="0" distB="0" distL="114300" distR="114300">
            <wp:extent cx="5486400" cy="3362325"/>
            <wp:effectExtent l="0" t="0" r="0" b="9525"/>
            <wp:docPr id="15" name="6" descr="slide1_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6" descr="slide1_image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rPr>
          <w:rFonts w:hint="eastAsia"/>
          <w:sz w:val="24"/>
          <w:szCs w:val="24"/>
        </w:rPr>
        <w:t xml:space="preserve">Figure </w:t>
      </w:r>
      <w:r>
        <w:rPr>
          <w:sz w:val="24"/>
          <w:szCs w:val="24"/>
        </w:rPr>
        <w:t>S5</w:t>
      </w:r>
      <w:r>
        <w:rPr>
          <w:rFonts w:hint="eastAsia"/>
          <w:sz w:val="24"/>
          <w:szCs w:val="24"/>
        </w:rPr>
        <w:t>. O</w:t>
      </w:r>
      <w:r>
        <w:rPr>
          <w:sz w:val="24"/>
          <w:szCs w:val="24"/>
        </w:rPr>
        <w:t>ne-way sensitivity analys</w:t>
      </w: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of cost of TNFi of net monetary benefit of utility.</w:t>
      </w:r>
      <w:r>
        <w:t xml:space="preserve"> MTX: methotrexate;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drawing>
          <wp:inline distT="0" distB="0" distL="114300" distR="114300">
            <wp:extent cx="5486400" cy="3362325"/>
            <wp:effectExtent l="0" t="0" r="0" b="9525"/>
            <wp:docPr id="7" name="6" descr="slide1_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" descr="slide1_image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autoSpaceDE w:val="0"/>
        <w:autoSpaceDN w:val="0"/>
        <w:adjustRightInd w:val="0"/>
        <w:spacing w:line="360" w:lineRule="auto"/>
        <w:ind w:firstLine="0" w:firstLineChars="0"/>
        <w:jc w:val="left"/>
      </w:pPr>
      <w:r>
        <w:rPr>
          <w:rFonts w:hint="eastAsia"/>
          <w:sz w:val="24"/>
          <w:szCs w:val="24"/>
        </w:rPr>
        <w:t xml:space="preserve">Figure </w:t>
      </w:r>
      <w:r>
        <w:rPr>
          <w:sz w:val="24"/>
          <w:szCs w:val="24"/>
        </w:rPr>
        <w:t>S6</w:t>
      </w:r>
      <w:r>
        <w:rPr>
          <w:rFonts w:hint="eastAsia"/>
          <w:sz w:val="24"/>
          <w:szCs w:val="24"/>
        </w:rPr>
        <w:t>. O</w:t>
      </w:r>
      <w:r>
        <w:rPr>
          <w:sz w:val="24"/>
          <w:szCs w:val="24"/>
        </w:rPr>
        <w:t>ne-way sensitivity analys</w:t>
      </w: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of cost of YiSaiPu of net monetary benefit of effectiveness.</w:t>
      </w:r>
      <w:r>
        <w:t xml:space="preserve"> MTX: methotrexate; HCQ: </w:t>
      </w:r>
      <w:r>
        <w:rPr>
          <w:rFonts w:hint="eastAsia"/>
        </w:rPr>
        <w:t>hydroxychloroquine</w:t>
      </w:r>
      <w:r>
        <w:t>; SSZ:</w:t>
      </w:r>
      <w:r>
        <w:rPr>
          <w:rFonts w:hint="eastAsia"/>
        </w:rPr>
        <w:t xml:space="preserve"> </w:t>
      </w:r>
      <w:r>
        <w:t>s</w:t>
      </w:r>
      <w:r>
        <w:rPr>
          <w:rFonts w:hint="eastAsia"/>
        </w:rPr>
        <w:t>ulfasalazine</w:t>
      </w:r>
      <w:r>
        <w:t>.</w:t>
      </w:r>
    </w:p>
    <w:p>
      <w:pPr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9202E3"/>
    <w:rsid w:val="703C179F"/>
    <w:rsid w:val="73F3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2021-02-21T01:41:00Z</dcterms:created>
  <dc:creator>think</dc:creator>
  <cp:lastModifiedBy>think</cp:lastModifiedBy>
  <dcterms:modified xsi:type="dcterms:W3CDTF">2021-05-31T03:11:25Z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