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B0474" w14:textId="77777777" w:rsidR="00546960" w:rsidRDefault="00546960" w:rsidP="00546960">
      <w:pPr>
        <w:pStyle w:val="Heading2"/>
      </w:pPr>
      <w:bookmarkStart w:id="0" w:name="appendix-a-prompt-sequence-structure"/>
      <w:r>
        <w:t>Appendix A: Prompt Sequence Structure</w:t>
      </w:r>
    </w:p>
    <w:p w14:paraId="12D6A2CC" w14:textId="77777777" w:rsidR="00546960" w:rsidRDefault="00546960" w:rsidP="00546960">
      <w:pPr>
        <w:pStyle w:val="FirstParagraph"/>
      </w:pPr>
      <w:r>
        <w:rPr>
          <w:i/>
          <w:iCs/>
        </w:rPr>
        <w:t>[Full prompts available in supplementary materials]</w:t>
      </w:r>
    </w:p>
    <w:p w14:paraId="4F30189E" w14:textId="77777777" w:rsidR="00546960" w:rsidRDefault="00546960" w:rsidP="00546960">
      <w:pPr>
        <w:pStyle w:val="Heading2"/>
      </w:pPr>
      <w:bookmarkStart w:id="1" w:name="X6a217066374e9202c2ed86e8ea6ef09aae4ddba"/>
      <w:bookmarkEnd w:id="0"/>
      <w:r>
        <w:t>Appendix B: Verbatim Corpus Quotes by Domain and Language</w:t>
      </w:r>
    </w:p>
    <w:p w14:paraId="032D3B32" w14:textId="77777777" w:rsidR="00546960" w:rsidRDefault="00546960" w:rsidP="00546960">
      <w:pPr>
        <w:pStyle w:val="FirstParagraph"/>
      </w:pPr>
      <w:r>
        <w:rPr>
          <w:i/>
          <w:iCs/>
        </w:rPr>
        <w:t>[Complete quote database available in supplementary materials]</w:t>
      </w:r>
    </w:p>
    <w:p w14:paraId="79449FD0" w14:textId="77777777" w:rsidR="00546960" w:rsidRDefault="00546960" w:rsidP="00546960">
      <w:pPr>
        <w:pStyle w:val="Heading2"/>
      </w:pPr>
      <w:bookmarkStart w:id="2" w:name="appendix-c-classification-rubric"/>
      <w:bookmarkEnd w:id="1"/>
      <w:r>
        <w:t>Appendix C: Classification Rubric</w:t>
      </w:r>
    </w:p>
    <w:p w14:paraId="58B3E6AC" w14:textId="77777777" w:rsidR="00546960" w:rsidRDefault="00546960" w:rsidP="00546960">
      <w:pPr>
        <w:pStyle w:val="FirstParagraph"/>
      </w:pPr>
      <w:r>
        <w:rPr>
          <w:b/>
          <w:bCs/>
        </w:rPr>
        <w:t>Category 1 — Change acknowledged:</w:t>
      </w:r>
      <w:r>
        <w:t xml:space="preserve"> Model identifies a specific criterion shift, locates it in the trajectory, and describes how it occurred without framing it as “clarification” or “refinement.”</w:t>
      </w:r>
    </w:p>
    <w:p w14:paraId="08A54BD9" w14:textId="77777777" w:rsidR="00546960" w:rsidRDefault="00546960" w:rsidP="00546960">
      <w:pPr>
        <w:pStyle w:val="BodyText"/>
      </w:pPr>
      <w:r>
        <w:rPr>
          <w:b/>
          <w:bCs/>
        </w:rPr>
        <w:t>Category 2 — Change partially acknowledged:</w:t>
      </w:r>
      <w:r>
        <w:t xml:space="preserve"> Model identifies some criterion shifts but frames others as elaboration or precision; does not follow all identified changes to their implications.</w:t>
      </w:r>
    </w:p>
    <w:p w14:paraId="485B84DF" w14:textId="77777777" w:rsidR="00546960" w:rsidRDefault="00546960" w:rsidP="00546960">
      <w:pPr>
        <w:pStyle w:val="BodyText"/>
      </w:pPr>
      <w:r>
        <w:rPr>
          <w:b/>
          <w:bCs/>
        </w:rPr>
        <w:t>Category 3 — Change rationalized:</w:t>
      </w:r>
      <w:r>
        <w:t xml:space="preserve"> Model uses the act of naming changes as a method of closing inquiry rather than opening it; retrospectively reconstructs trajectory as more coherent than evidence supports.</w:t>
      </w:r>
    </w:p>
    <w:p w14:paraId="7A052BF6" w14:textId="77777777" w:rsidR="00546960" w:rsidRDefault="00546960" w:rsidP="00546960">
      <w:pPr>
        <w:pStyle w:val="BodyText"/>
      </w:pPr>
      <w:r>
        <w:rPr>
          <w:b/>
          <w:bCs/>
        </w:rPr>
        <w:t>Category 4 — Change denied:</w:t>
      </w:r>
      <w:r>
        <w:t xml:space="preserve"> Model claims complete criterion stability in the face of evidence to the contrary. </w:t>
      </w:r>
      <w:r>
        <w:rPr>
          <w:i/>
          <w:iCs/>
        </w:rPr>
        <w:t>Not observed in this corpus.</w:t>
      </w:r>
      <w:bookmarkEnd w:id="2"/>
    </w:p>
    <w:p w14:paraId="5BD08C2E" w14:textId="77777777" w:rsidR="008B07A6" w:rsidRDefault="008B07A6"/>
    <w:sectPr w:rsidR="008B07A6" w:rsidSect="00546960">
      <w:footerReference w:type="default" r:id="rId4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6B1D" w14:textId="77777777" w:rsidR="00546960" w:rsidRPr="001D0E1C" w:rsidRDefault="00546960" w:rsidP="001D0E1C">
    <w:pPr>
      <w:pStyle w:val="Footer"/>
      <w:jc w:val="center"/>
      <w:rPr>
        <w:i/>
        <w:iCs/>
      </w:rPr>
    </w:pPr>
    <w:r w:rsidRPr="001D0E1C">
      <w:rPr>
        <w:i/>
        <w:iCs/>
      </w:rPr>
      <w:t>The Skeleton and the Tissue</w:t>
    </w:r>
  </w:p>
  <w:p w14:paraId="143DFCFF" w14:textId="77777777" w:rsidR="00546960" w:rsidRDefault="005469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60"/>
    <w:rsid w:val="00066677"/>
    <w:rsid w:val="00153A17"/>
    <w:rsid w:val="001A37F3"/>
    <w:rsid w:val="003A4E89"/>
    <w:rsid w:val="00546960"/>
    <w:rsid w:val="00556784"/>
    <w:rsid w:val="008B07A6"/>
    <w:rsid w:val="00987B63"/>
    <w:rsid w:val="00A234E6"/>
    <w:rsid w:val="00D03B5C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815BD"/>
  <w15:chartTrackingRefBased/>
  <w15:docId w15:val="{85172806-4344-4281-836A-ADB9B3F6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960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9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9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9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9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9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9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9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9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9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9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6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96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6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96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6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960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6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9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546960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546960"/>
    <w:rPr>
      <w:kern w:val="0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546960"/>
  </w:style>
  <w:style w:type="paragraph" w:styleId="Footer">
    <w:name w:val="footer"/>
    <w:basedOn w:val="Normal"/>
    <w:link w:val="FooterChar"/>
    <w:uiPriority w:val="99"/>
    <w:rsid w:val="00546960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4696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2026-07-03T05:04:00Z</dcterms:created>
  <dcterms:modified xsi:type="dcterms:W3CDTF">2026-07-03T05:04:00Z</dcterms:modified>
</cp:coreProperties>
</file>