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34965" w14:textId="77777777" w:rsidR="007F48A3" w:rsidRDefault="00000000">
      <w:pPr>
        <w:spacing w:after="60"/>
        <w:jc w:val="center"/>
      </w:pPr>
      <w:r>
        <w:rPr>
          <w:b/>
          <w:bCs/>
          <w:sz w:val="30"/>
          <w:szCs w:val="30"/>
        </w:rPr>
        <w:t>Supplementary Material</w:t>
      </w:r>
    </w:p>
    <w:p w14:paraId="47436F3F" w14:textId="77777777" w:rsidR="007F48A3" w:rsidRDefault="00000000">
      <w:pPr>
        <w:spacing w:after="200"/>
        <w:jc w:val="center"/>
      </w:pPr>
      <w:r>
        <w:rPr>
          <w:i/>
          <w:iCs/>
        </w:rPr>
        <w:t>Intrinsic capacity and the physical frailty phenotype as complementary predictors of mortality in older Indians (LASI-DAD)</w:t>
      </w:r>
    </w:p>
    <w:p w14:paraId="010FAFA3" w14:textId="77777777" w:rsidR="007F48A3" w:rsidRDefault="00000000">
      <w:pPr>
        <w:spacing w:after="140" w:line="276" w:lineRule="auto"/>
        <w:jc w:val="both"/>
      </w:pPr>
      <w:r>
        <w:rPr>
          <w:sz w:val="20"/>
          <w:szCs w:val="20"/>
        </w:rPr>
        <w:t>Analytic sample: 3,260 participants, 642 deaths. All hazard ratios (HR) are from Cox proportional-hazards models with 95% confidence intervals (CI). Intrinsic capacity and the physical phenotype are expressed per standard deviation (SD) unless otherwise stated.</w:t>
      </w:r>
    </w:p>
    <w:p w14:paraId="51D1BB55" w14:textId="77777777" w:rsidR="007F48A3" w:rsidRDefault="00000000">
      <w:pPr>
        <w:pStyle w:val="Heading1"/>
      </w:pPr>
      <w:r>
        <w:t>S1. STROBE checklist (cohort studies)</w:t>
      </w:r>
    </w:p>
    <w:p w14:paraId="35E815CE" w14:textId="77777777" w:rsidR="00E762E0" w:rsidRDefault="00E762E0" w:rsidP="00E762E0">
      <w:pPr>
        <w:spacing w:after="60"/>
      </w:pPr>
      <w:r>
        <w:rPr>
          <w:b/>
          <w:bCs/>
          <w:sz w:val="22"/>
          <w:szCs w:val="22"/>
        </w:rPr>
        <w:t xml:space="preserve">STROBE Statement — checklist of items that should be included in reports of </w:t>
      </w:r>
      <w:r>
        <w:rPr>
          <w:b/>
          <w:bCs/>
          <w:i/>
          <w:iCs/>
          <w:sz w:val="22"/>
          <w:szCs w:val="22"/>
        </w:rPr>
        <w:t>cohort studies</w:t>
      </w:r>
    </w:p>
    <w:p w14:paraId="239962E5" w14:textId="77777777" w:rsidR="00E762E0" w:rsidRDefault="00E762E0" w:rsidP="00E762E0">
      <w:pPr>
        <w:spacing w:after="200"/>
      </w:pPr>
      <w:r>
        <w:rPr>
          <w:b/>
          <w:bCs/>
        </w:rPr>
        <w:t xml:space="preserve">Manuscript: </w:t>
      </w:r>
      <w:r>
        <w:rPr>
          <w:i/>
          <w:iCs/>
        </w:rPr>
        <w:t>Intrinsic capacity and the physical frailty phenotype as complementary predictors of mortality in older Indian adults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5740"/>
        <w:gridCol w:w="2800"/>
      </w:tblGrid>
      <w:tr w:rsidR="00E762E0" w14:paraId="57029A52" w14:textId="77777777" w:rsidTr="001A4020">
        <w:trPr>
          <w:tblHeader/>
        </w:trPr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8E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73A39D" w14:textId="77777777" w:rsidR="00E762E0" w:rsidRDefault="00E762E0" w:rsidP="001A4020">
            <w:r>
              <w:rPr>
                <w:b/>
                <w:bCs/>
              </w:rPr>
              <w:t>Item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8E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588F42" w14:textId="77777777" w:rsidR="00E762E0" w:rsidRDefault="00E762E0" w:rsidP="001A4020">
            <w:r>
              <w:rPr>
                <w:b/>
                <w:bCs/>
              </w:rPr>
              <w:t>Recommendation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8E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7CACEB" w14:textId="77777777" w:rsidR="00E762E0" w:rsidRDefault="00E762E0" w:rsidP="001A4020">
            <w:r>
              <w:rPr>
                <w:b/>
                <w:bCs/>
              </w:rPr>
              <w:t>Reported in (section)</w:t>
            </w:r>
          </w:p>
        </w:tc>
      </w:tr>
      <w:tr w:rsidR="00E762E0" w14:paraId="54886CE1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E72BCF" w14:textId="77777777" w:rsidR="00E762E0" w:rsidRDefault="00E762E0" w:rsidP="001A4020">
            <w:r>
              <w:rPr>
                <w:b/>
                <w:bCs/>
                <w:color w:val="FFFFFF"/>
              </w:rPr>
              <w:t>Title and abstract</w:t>
            </w:r>
          </w:p>
        </w:tc>
      </w:tr>
      <w:tr w:rsidR="00E762E0" w14:paraId="56D8935C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C5D4EC" w14:textId="77777777" w:rsidR="00E762E0" w:rsidRDefault="00E762E0" w:rsidP="001A4020">
            <w:r>
              <w:rPr>
                <w:b/>
                <w:bCs/>
              </w:rPr>
              <w:t>1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862BC4" w14:textId="77777777" w:rsidR="00E762E0" w:rsidRDefault="00E762E0" w:rsidP="001A4020">
            <w:r>
              <w:t>Indicate the study’s design with a commonly used term in the title or the abstract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49C35E" w14:textId="77777777" w:rsidR="00E762E0" w:rsidRDefault="00E762E0" w:rsidP="001A4020">
            <w:r>
              <w:t>Title; Abstract</w:t>
            </w:r>
          </w:p>
        </w:tc>
      </w:tr>
      <w:tr w:rsidR="00E762E0" w14:paraId="7E9AE902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9A22B0" w14:textId="77777777" w:rsidR="00E762E0" w:rsidRDefault="00E762E0" w:rsidP="001A4020">
            <w:r>
              <w:rPr>
                <w:b/>
                <w:bCs/>
              </w:rPr>
              <w:t>1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D3193DA" w14:textId="77777777" w:rsidR="00E762E0" w:rsidRDefault="00E762E0" w:rsidP="001A4020">
            <w:r>
              <w:t>Provide in the abstract an informative and balanced summary of what was done and what was found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201EAD5" w14:textId="77777777" w:rsidR="00E762E0" w:rsidRDefault="00E762E0" w:rsidP="001A4020">
            <w:r>
              <w:t>Abstract (structured)</w:t>
            </w:r>
          </w:p>
        </w:tc>
      </w:tr>
      <w:tr w:rsidR="00E762E0" w14:paraId="0343DC9C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E9E6B1" w14:textId="77777777" w:rsidR="00E762E0" w:rsidRDefault="00E762E0" w:rsidP="001A4020">
            <w:r>
              <w:rPr>
                <w:b/>
                <w:bCs/>
                <w:color w:val="FFFFFF"/>
              </w:rPr>
              <w:t>Introduction</w:t>
            </w:r>
          </w:p>
        </w:tc>
      </w:tr>
      <w:tr w:rsidR="00E762E0" w14:paraId="4A87D20A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730B03" w14:textId="77777777" w:rsidR="00E762E0" w:rsidRDefault="00E762E0" w:rsidP="001A4020">
            <w:r>
              <w:rPr>
                <w:b/>
                <w:bCs/>
              </w:rPr>
              <w:t>2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17A50BB" w14:textId="77777777" w:rsidR="00E762E0" w:rsidRDefault="00E762E0" w:rsidP="001A4020">
            <w:r>
              <w:t>Background/rationale: explain the scientific background and rationale for the investigation being reported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77C9DB" w14:textId="77777777" w:rsidR="00E762E0" w:rsidRDefault="00E762E0" w:rsidP="001A4020">
            <w:r>
              <w:t>Introduction (§1)</w:t>
            </w:r>
          </w:p>
        </w:tc>
      </w:tr>
      <w:tr w:rsidR="00E762E0" w14:paraId="00EE18A8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91B0A8" w14:textId="77777777" w:rsidR="00E762E0" w:rsidRDefault="00E762E0" w:rsidP="001A4020">
            <w:r>
              <w:rPr>
                <w:b/>
                <w:bCs/>
              </w:rPr>
              <w:t>3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3313DF" w14:textId="77777777" w:rsidR="00E762E0" w:rsidRDefault="00E762E0" w:rsidP="001A4020">
            <w:r>
              <w:t>Objectives: state specific objectives, including any prespecified hypotheses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8E08A2" w14:textId="77777777" w:rsidR="00E762E0" w:rsidRDefault="00E762E0" w:rsidP="001A4020">
            <w:r>
              <w:t>Introduction (§1, final paragraph)</w:t>
            </w:r>
          </w:p>
        </w:tc>
      </w:tr>
      <w:tr w:rsidR="00E762E0" w14:paraId="7EC9278E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34846D" w14:textId="77777777" w:rsidR="00E762E0" w:rsidRDefault="00E762E0" w:rsidP="001A4020">
            <w:r>
              <w:rPr>
                <w:b/>
                <w:bCs/>
                <w:color w:val="FFFFFF"/>
              </w:rPr>
              <w:t>Methods</w:t>
            </w:r>
          </w:p>
        </w:tc>
      </w:tr>
      <w:tr w:rsidR="00E762E0" w14:paraId="7783553B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FF75B7" w14:textId="77777777" w:rsidR="00E762E0" w:rsidRDefault="00E762E0" w:rsidP="001A4020">
            <w:r>
              <w:rPr>
                <w:b/>
                <w:bCs/>
              </w:rPr>
              <w:t>4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4539C29" w14:textId="77777777" w:rsidR="00E762E0" w:rsidRDefault="00E762E0" w:rsidP="001A4020">
            <w:r>
              <w:t>Study design: present key elements of study design early in the paper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9AB0F5" w14:textId="77777777" w:rsidR="00E762E0" w:rsidRDefault="00E762E0" w:rsidP="001A4020">
            <w:r>
              <w:t>Methods §2.1</w:t>
            </w:r>
          </w:p>
        </w:tc>
      </w:tr>
      <w:tr w:rsidR="00E762E0" w14:paraId="50DDC649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469BB6A" w14:textId="77777777" w:rsidR="00E762E0" w:rsidRDefault="00E762E0" w:rsidP="001A4020">
            <w:r>
              <w:rPr>
                <w:b/>
                <w:bCs/>
              </w:rPr>
              <w:t>5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477219" w14:textId="77777777" w:rsidR="00E762E0" w:rsidRDefault="00E762E0" w:rsidP="001A4020">
            <w:r>
              <w:t>Setting: describe the setting, locations, and relevant dates, including periods of recruitment, exposure, follow-up, and data collection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F129CF" w14:textId="77777777" w:rsidR="00E762E0" w:rsidRDefault="00E762E0" w:rsidP="001A4020">
            <w:r>
              <w:t>Methods §2.1</w:t>
            </w:r>
          </w:p>
        </w:tc>
      </w:tr>
      <w:tr w:rsidR="00E762E0" w14:paraId="1C5A9E16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0CC16C" w14:textId="77777777" w:rsidR="00E762E0" w:rsidRDefault="00E762E0" w:rsidP="001A4020">
            <w:r>
              <w:rPr>
                <w:b/>
                <w:bCs/>
              </w:rPr>
              <w:t>6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654371" w14:textId="77777777" w:rsidR="00E762E0" w:rsidRDefault="00E762E0" w:rsidP="001A4020">
            <w:r>
              <w:t>Participants: give the eligibility criteria, and the sources and methods of selection of participants; describe methods of follow-up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D945E2" w14:textId="77777777" w:rsidR="00E762E0" w:rsidRDefault="00E762E0" w:rsidP="001A4020">
            <w:r>
              <w:t>Methods §2.1</w:t>
            </w:r>
          </w:p>
        </w:tc>
      </w:tr>
      <w:tr w:rsidR="00E762E0" w14:paraId="2C8A1B63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6F6132" w14:textId="77777777" w:rsidR="00E762E0" w:rsidRDefault="00E762E0" w:rsidP="001A4020">
            <w:r>
              <w:rPr>
                <w:b/>
                <w:bCs/>
              </w:rPr>
              <w:t>6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F0A5A3" w14:textId="77777777" w:rsidR="00E762E0" w:rsidRDefault="00E762E0" w:rsidP="001A4020">
            <w:r>
              <w:t>For matched studies, give matching criteria and number of exposed and unexposed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0F3C53" w14:textId="77777777" w:rsidR="00E762E0" w:rsidRDefault="00E762E0" w:rsidP="001A4020">
            <w:r>
              <w:t>Not applicable (no matching)</w:t>
            </w:r>
          </w:p>
        </w:tc>
      </w:tr>
      <w:tr w:rsidR="00E762E0" w14:paraId="77E607A1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4979A2" w14:textId="77777777" w:rsidR="00E762E0" w:rsidRDefault="00E762E0" w:rsidP="001A4020">
            <w:r>
              <w:rPr>
                <w:b/>
                <w:bCs/>
              </w:rPr>
              <w:t>7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CC1F6F" w14:textId="77777777" w:rsidR="00E762E0" w:rsidRDefault="00E762E0" w:rsidP="001A4020">
            <w:r>
              <w:t>Variables: clearly define all outcomes, exposures, predictors, potential confounders, and effect modifiers; give diagnostic criteria, if applicable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DEA82A" w14:textId="77777777" w:rsidR="00E762E0" w:rsidRDefault="00E762E0" w:rsidP="001A4020">
            <w:r>
              <w:t>Methods §2.2–2.5</w:t>
            </w:r>
          </w:p>
        </w:tc>
      </w:tr>
      <w:tr w:rsidR="00E762E0" w14:paraId="116C5E65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EBFAA6B" w14:textId="77777777" w:rsidR="00E762E0" w:rsidRDefault="00E762E0" w:rsidP="001A4020">
            <w:r>
              <w:rPr>
                <w:b/>
                <w:bCs/>
              </w:rPr>
              <w:t>8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F99953" w14:textId="77777777" w:rsidR="00E762E0" w:rsidRDefault="00E762E0" w:rsidP="001A4020">
            <w:r>
              <w:t>Data sources/measurement: for each variable of interest, give sources of data and details of methods of assessment; describe comparability of assessment methods if there is more than one group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77BBF72" w14:textId="77777777" w:rsidR="00E762E0" w:rsidRDefault="00E762E0" w:rsidP="001A4020">
            <w:r>
              <w:t>Methods §2.2–2.4</w:t>
            </w:r>
          </w:p>
        </w:tc>
      </w:tr>
      <w:tr w:rsidR="00E762E0" w14:paraId="2143E68B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6E0457" w14:textId="77777777" w:rsidR="00E762E0" w:rsidRDefault="00E762E0" w:rsidP="001A4020">
            <w:r>
              <w:rPr>
                <w:b/>
                <w:bCs/>
              </w:rPr>
              <w:t>9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8A92132" w14:textId="77777777" w:rsidR="00E762E0" w:rsidRDefault="00E762E0" w:rsidP="001A4020">
            <w:r>
              <w:t>Bias: describe any efforts to address potential sources of bias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6B5FB8" w14:textId="77777777" w:rsidR="00E762E0" w:rsidRDefault="00E762E0" w:rsidP="001A4020">
            <w:r>
              <w:t>Methods §2.5; Discussion §4.9</w:t>
            </w:r>
          </w:p>
        </w:tc>
      </w:tr>
      <w:tr w:rsidR="00E762E0" w14:paraId="2AF3C28E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F02E06" w14:textId="77777777" w:rsidR="00E762E0" w:rsidRDefault="00E762E0" w:rsidP="001A4020"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22799D" w14:textId="77777777" w:rsidR="00E762E0" w:rsidRDefault="00E762E0" w:rsidP="001A4020">
            <w:r>
              <w:t>Study size: explain how the study size was arrived at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EA06948" w14:textId="77777777" w:rsidR="00E762E0" w:rsidRDefault="00E762E0" w:rsidP="001A4020">
            <w:r>
              <w:t>Methods §2.1; Results §3.1</w:t>
            </w:r>
          </w:p>
        </w:tc>
      </w:tr>
      <w:tr w:rsidR="00E762E0" w14:paraId="1491A64D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7B7B6E" w14:textId="77777777" w:rsidR="00E762E0" w:rsidRDefault="00E762E0" w:rsidP="001A4020">
            <w:r>
              <w:rPr>
                <w:b/>
                <w:bCs/>
              </w:rPr>
              <w:t>11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3B0D7D" w14:textId="77777777" w:rsidR="00E762E0" w:rsidRDefault="00E762E0" w:rsidP="001A4020">
            <w:r>
              <w:t>Quantitative variables: explain how quantitative variables were handled in the analyses; if applicable, describe which groupings were chosen and why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4816F25" w14:textId="77777777" w:rsidR="00E762E0" w:rsidRDefault="00E762E0" w:rsidP="001A4020">
            <w:r>
              <w:t>Methods §2.2–2.3, §2.6</w:t>
            </w:r>
          </w:p>
        </w:tc>
      </w:tr>
      <w:tr w:rsidR="00E762E0" w14:paraId="42A6D0EC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A592DE" w14:textId="77777777" w:rsidR="00E762E0" w:rsidRDefault="00E762E0" w:rsidP="001A4020">
            <w:r>
              <w:rPr>
                <w:b/>
                <w:bCs/>
              </w:rPr>
              <w:t>12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001FA6" w14:textId="77777777" w:rsidR="00E762E0" w:rsidRDefault="00E762E0" w:rsidP="001A4020">
            <w:r>
              <w:t>Statistical methods: describe all statistical methods, including those used to control for confounding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CAE458" w14:textId="77777777" w:rsidR="00E762E0" w:rsidRDefault="00E762E0" w:rsidP="001A4020">
            <w:r>
              <w:t>Methods §2.6</w:t>
            </w:r>
          </w:p>
        </w:tc>
      </w:tr>
      <w:tr w:rsidR="00E762E0" w14:paraId="431CFA3A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4A9B61E" w14:textId="77777777" w:rsidR="00E762E0" w:rsidRDefault="00E762E0" w:rsidP="001A4020">
            <w:r>
              <w:rPr>
                <w:b/>
                <w:bCs/>
              </w:rPr>
              <w:t>12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BC6235" w14:textId="77777777" w:rsidR="00E762E0" w:rsidRDefault="00E762E0" w:rsidP="001A4020">
            <w:r>
              <w:t>Describe any methods used to examine subgroups and interactions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1065C4" w14:textId="77777777" w:rsidR="00E762E0" w:rsidRDefault="00E762E0" w:rsidP="001A4020">
            <w:r>
              <w:t>Methods §2.6; Results §3.4</w:t>
            </w:r>
          </w:p>
        </w:tc>
      </w:tr>
      <w:tr w:rsidR="00E762E0" w14:paraId="73AF8661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B85DBC" w14:textId="77777777" w:rsidR="00E762E0" w:rsidRDefault="00E762E0" w:rsidP="001A4020">
            <w:r>
              <w:rPr>
                <w:b/>
                <w:bCs/>
              </w:rPr>
              <w:t>12 (c)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F0C6E5" w14:textId="77777777" w:rsidR="00E762E0" w:rsidRDefault="00E762E0" w:rsidP="001A4020">
            <w:r>
              <w:t>Explain how missing data were addressed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0B119C" w14:textId="77777777" w:rsidR="00E762E0" w:rsidRDefault="00E762E0" w:rsidP="001A4020">
            <w:r>
              <w:t>Methods §2.1 (complete-case analytic sample)</w:t>
            </w:r>
          </w:p>
        </w:tc>
      </w:tr>
      <w:tr w:rsidR="00E762E0" w14:paraId="3B7ADBEB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C3290E" w14:textId="77777777" w:rsidR="00E762E0" w:rsidRDefault="00E762E0" w:rsidP="001A4020">
            <w:r>
              <w:rPr>
                <w:b/>
                <w:bCs/>
              </w:rPr>
              <w:t>12 (d)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0AD4A0" w14:textId="77777777" w:rsidR="00E762E0" w:rsidRDefault="00E762E0" w:rsidP="001A4020">
            <w:r>
              <w:t>If applicable, explain how loss to follow-up was addressed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38BF675" w14:textId="77777777" w:rsidR="00E762E0" w:rsidRDefault="00E762E0" w:rsidP="001A4020">
            <w:r>
              <w:t>Methods §2.1, §2.4</w:t>
            </w:r>
          </w:p>
        </w:tc>
      </w:tr>
      <w:tr w:rsidR="00E762E0" w14:paraId="11273635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353920C" w14:textId="77777777" w:rsidR="00E762E0" w:rsidRDefault="00E762E0" w:rsidP="001A4020">
            <w:r>
              <w:rPr>
                <w:b/>
                <w:bCs/>
              </w:rPr>
              <w:t>12 (e)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816C1BB" w14:textId="77777777" w:rsidR="00E762E0" w:rsidRDefault="00E762E0" w:rsidP="001A4020">
            <w:r>
              <w:t>Describe any sensitivity analyses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C130803" w14:textId="77777777" w:rsidR="00E762E0" w:rsidRDefault="00E762E0" w:rsidP="001A4020">
            <w:r>
              <w:t>Methods §2.6; Results §3.5; Supplement S3–S6</w:t>
            </w:r>
          </w:p>
        </w:tc>
      </w:tr>
      <w:tr w:rsidR="00E762E0" w14:paraId="35EFD9E2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573DF0" w14:textId="77777777" w:rsidR="00E762E0" w:rsidRDefault="00E762E0" w:rsidP="001A4020">
            <w:r>
              <w:rPr>
                <w:b/>
                <w:bCs/>
                <w:color w:val="FFFFFF"/>
              </w:rPr>
              <w:t>Results</w:t>
            </w:r>
          </w:p>
        </w:tc>
      </w:tr>
      <w:tr w:rsidR="00E762E0" w14:paraId="07AF561E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8687B2" w14:textId="77777777" w:rsidR="00E762E0" w:rsidRDefault="00E762E0" w:rsidP="001A4020">
            <w:r>
              <w:rPr>
                <w:b/>
                <w:bCs/>
              </w:rPr>
              <w:t>13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D109447" w14:textId="77777777" w:rsidR="00E762E0" w:rsidRDefault="00E762E0" w:rsidP="001A4020">
            <w:r>
              <w:t>Participants: report numbers of individuals at each stage — e.g., numbers potentially eligible, examined for eligibility, confirmed eligible, included, completing follow-up, and analysed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152EC0" w14:textId="77777777" w:rsidR="00E762E0" w:rsidRDefault="00E762E0" w:rsidP="001A4020">
            <w:r>
              <w:t>Methods §2.1; Results §3.1</w:t>
            </w:r>
          </w:p>
        </w:tc>
      </w:tr>
      <w:tr w:rsidR="00E762E0" w14:paraId="46AED38F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87729F" w14:textId="77777777" w:rsidR="00E762E0" w:rsidRDefault="00E762E0" w:rsidP="001A4020">
            <w:r>
              <w:rPr>
                <w:b/>
                <w:bCs/>
              </w:rPr>
              <w:t>13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4520AB" w14:textId="77777777" w:rsidR="00E762E0" w:rsidRDefault="00E762E0" w:rsidP="001A4020">
            <w:r>
              <w:t>Give reasons for non-participation at each stage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0310F8" w14:textId="77777777" w:rsidR="00E762E0" w:rsidRDefault="00E762E0" w:rsidP="001A4020">
            <w:r>
              <w:t>Methods §2.1 (complete-data inclusion)</w:t>
            </w:r>
          </w:p>
        </w:tc>
      </w:tr>
      <w:tr w:rsidR="00E762E0" w14:paraId="689048F9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F6EA25" w14:textId="77777777" w:rsidR="00E762E0" w:rsidRDefault="00E762E0" w:rsidP="001A4020">
            <w:r>
              <w:rPr>
                <w:b/>
                <w:bCs/>
              </w:rPr>
              <w:t>13 (c)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815514" w14:textId="77777777" w:rsidR="00E762E0" w:rsidRDefault="00E762E0" w:rsidP="001A4020">
            <w:r>
              <w:t>Consider use of a flow diagram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EA98642" w14:textId="77777777" w:rsidR="00E762E0" w:rsidRDefault="00E762E0" w:rsidP="001A4020">
            <w:r>
              <w:t>Not applicable (numbers reported in text)</w:t>
            </w:r>
          </w:p>
        </w:tc>
      </w:tr>
      <w:tr w:rsidR="00E762E0" w14:paraId="0A164FC0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4C5EBD" w14:textId="77777777" w:rsidR="00E762E0" w:rsidRDefault="00E762E0" w:rsidP="001A4020">
            <w:r>
              <w:rPr>
                <w:b/>
                <w:bCs/>
              </w:rPr>
              <w:t>14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6DB29D0" w14:textId="77777777" w:rsidR="00E762E0" w:rsidRDefault="00E762E0" w:rsidP="001A4020">
            <w:r>
              <w:t>Descriptive data: give characteristics of study participants and information on exposures and potential confounders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DFF065" w14:textId="77777777" w:rsidR="00E762E0" w:rsidRDefault="00E762E0" w:rsidP="001A4020">
            <w:r>
              <w:t>Table 1</w:t>
            </w:r>
          </w:p>
        </w:tc>
      </w:tr>
      <w:tr w:rsidR="00E762E0" w14:paraId="08A4C950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4FE324C" w14:textId="77777777" w:rsidR="00E762E0" w:rsidRDefault="00E762E0" w:rsidP="001A4020">
            <w:r>
              <w:rPr>
                <w:b/>
                <w:bCs/>
              </w:rPr>
              <w:t>14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6DC5444" w14:textId="77777777" w:rsidR="00E762E0" w:rsidRDefault="00E762E0" w:rsidP="001A4020">
            <w:r>
              <w:t>Indicate number of participants with missing data for each variable of interest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99998E" w14:textId="77777777" w:rsidR="00E762E0" w:rsidRDefault="00E762E0" w:rsidP="001A4020">
            <w:r>
              <w:t>Methods §2.1 (complete-case sample)</w:t>
            </w:r>
          </w:p>
        </w:tc>
      </w:tr>
      <w:tr w:rsidR="00E762E0" w14:paraId="39F369E0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4CBA4C1" w14:textId="77777777" w:rsidR="00E762E0" w:rsidRDefault="00E762E0" w:rsidP="001A4020">
            <w:r>
              <w:rPr>
                <w:b/>
                <w:bCs/>
              </w:rPr>
              <w:t>14 (c)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37C5DC7" w14:textId="77777777" w:rsidR="00E762E0" w:rsidRDefault="00E762E0" w:rsidP="001A4020">
            <w:r>
              <w:t>Summarise follow-up time (e.g., average and total amount)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52650B7" w14:textId="77777777" w:rsidR="00E762E0" w:rsidRDefault="00E762E0" w:rsidP="001A4020">
            <w:r>
              <w:t>Results §3.1; Table 1</w:t>
            </w:r>
          </w:p>
        </w:tc>
      </w:tr>
      <w:tr w:rsidR="00E762E0" w14:paraId="3CF45907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A3197B5" w14:textId="77777777" w:rsidR="00E762E0" w:rsidRDefault="00E762E0" w:rsidP="001A4020">
            <w:r>
              <w:rPr>
                <w:b/>
                <w:bCs/>
              </w:rPr>
              <w:t>15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B95D2B8" w14:textId="77777777" w:rsidR="00E762E0" w:rsidRDefault="00E762E0" w:rsidP="001A4020">
            <w:r>
              <w:t>Outcome data: report numbers of outcome events or summary measures over time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DC1C01F" w14:textId="77777777" w:rsidR="00E762E0" w:rsidRDefault="00E762E0" w:rsidP="001A4020">
            <w:r>
              <w:t>Results §3.1; Table 1</w:t>
            </w:r>
          </w:p>
        </w:tc>
      </w:tr>
      <w:tr w:rsidR="00E762E0" w14:paraId="020EAECE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082D73" w14:textId="77777777" w:rsidR="00E762E0" w:rsidRDefault="00E762E0" w:rsidP="001A4020">
            <w:r>
              <w:rPr>
                <w:b/>
                <w:bCs/>
              </w:rPr>
              <w:t>16 (a)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C44854" w14:textId="77777777" w:rsidR="00E762E0" w:rsidRDefault="00E762E0" w:rsidP="001A4020">
            <w:r>
              <w:t>Main results: give unadjusted estimates and, if applicable, confounder-adjusted estimates and their precision (e.g., 95% CI); make clear which confounders were adjusted for and why they were included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6179727" w14:textId="77777777" w:rsidR="00E762E0" w:rsidRDefault="00E762E0" w:rsidP="001A4020">
            <w:r>
              <w:t>Results §3.2–3.4; Tables 1–2; Figures 1–3</w:t>
            </w:r>
          </w:p>
        </w:tc>
      </w:tr>
      <w:tr w:rsidR="00E762E0" w14:paraId="31976370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54BD3A" w14:textId="77777777" w:rsidR="00E762E0" w:rsidRDefault="00E762E0" w:rsidP="001A4020">
            <w:r>
              <w:rPr>
                <w:b/>
                <w:bCs/>
              </w:rPr>
              <w:t>16 (b)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5EC09E1" w14:textId="77777777" w:rsidR="00E762E0" w:rsidRDefault="00E762E0" w:rsidP="001A4020">
            <w:r>
              <w:t>Report category boundaries when continuous variables were categorized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43C2DD" w14:textId="77777777" w:rsidR="00E762E0" w:rsidRDefault="00E762E0" w:rsidP="001A4020">
            <w:r>
              <w:t>Methods §2.3; Results §3.4</w:t>
            </w:r>
          </w:p>
        </w:tc>
      </w:tr>
      <w:tr w:rsidR="00E762E0" w14:paraId="4CBE7680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CEA0A6" w14:textId="77777777" w:rsidR="00E762E0" w:rsidRDefault="00E762E0" w:rsidP="001A4020">
            <w:r>
              <w:rPr>
                <w:b/>
                <w:bCs/>
              </w:rPr>
              <w:t>16 (c)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F5B56D" w14:textId="77777777" w:rsidR="00E762E0" w:rsidRDefault="00E762E0" w:rsidP="001A4020">
            <w:r>
              <w:t>If relevant, consider translating estimates of relative risk into absolute risk for a meaningful time period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3E0E7C" w14:textId="77777777" w:rsidR="00E762E0" w:rsidRDefault="00E762E0" w:rsidP="001A4020">
            <w:r>
              <w:t>Results §3.4 (group mortality proportions)</w:t>
            </w:r>
          </w:p>
        </w:tc>
      </w:tr>
      <w:tr w:rsidR="00E762E0" w14:paraId="4C949A2D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D4E2F8" w14:textId="77777777" w:rsidR="00E762E0" w:rsidRDefault="00E762E0" w:rsidP="001A4020">
            <w:r>
              <w:rPr>
                <w:b/>
                <w:bCs/>
              </w:rPr>
              <w:t>17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140F19" w14:textId="77777777" w:rsidR="00E762E0" w:rsidRDefault="00E762E0" w:rsidP="001A4020">
            <w:r>
              <w:t>Other analyses: report other analyses done — e.g., analyses of subgroups and interactions, and sensitivity analyses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F94051A" w14:textId="77777777" w:rsidR="00E762E0" w:rsidRDefault="00E762E0" w:rsidP="001A4020">
            <w:r>
              <w:t>Results §3.5; Supplement S3–S6</w:t>
            </w:r>
          </w:p>
        </w:tc>
      </w:tr>
      <w:tr w:rsidR="00E762E0" w14:paraId="14C554C3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EB811E" w14:textId="77777777" w:rsidR="00E762E0" w:rsidRDefault="00E762E0" w:rsidP="001A4020">
            <w:r>
              <w:rPr>
                <w:b/>
                <w:bCs/>
                <w:color w:val="FFFFFF"/>
              </w:rPr>
              <w:t>Discussion</w:t>
            </w:r>
          </w:p>
        </w:tc>
      </w:tr>
      <w:tr w:rsidR="00E762E0" w14:paraId="777CD3F6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516FDD" w14:textId="77777777" w:rsidR="00E762E0" w:rsidRDefault="00E762E0" w:rsidP="001A4020">
            <w:r>
              <w:rPr>
                <w:b/>
                <w:bCs/>
              </w:rPr>
              <w:lastRenderedPageBreak/>
              <w:t>18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3D65DF" w14:textId="77777777" w:rsidR="00E762E0" w:rsidRDefault="00E762E0" w:rsidP="001A4020">
            <w:r>
              <w:t>Key results: summarise key results with reference to study objectives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7A0E21" w14:textId="77777777" w:rsidR="00E762E0" w:rsidRDefault="00E762E0" w:rsidP="001A4020">
            <w:r>
              <w:t>Discussion §4.1</w:t>
            </w:r>
          </w:p>
        </w:tc>
      </w:tr>
      <w:tr w:rsidR="00E762E0" w14:paraId="14AFBF68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ADC8B9E" w14:textId="77777777" w:rsidR="00E762E0" w:rsidRDefault="00E762E0" w:rsidP="001A4020">
            <w:r>
              <w:rPr>
                <w:b/>
                <w:bCs/>
              </w:rPr>
              <w:t>19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E4DAA1" w14:textId="77777777" w:rsidR="00E762E0" w:rsidRDefault="00E762E0" w:rsidP="001A4020">
            <w:r>
              <w:t>Limitations: discuss limitations, taking into account sources of potential bias or imprecision; discuss both direction and magnitude of any potential bias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BA42F19" w14:textId="77777777" w:rsidR="00E762E0" w:rsidRDefault="00E762E0" w:rsidP="001A4020">
            <w:r>
              <w:t>Discussion §4.9</w:t>
            </w:r>
          </w:p>
        </w:tc>
      </w:tr>
      <w:tr w:rsidR="00E762E0" w14:paraId="0412AA84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54EACDB" w14:textId="77777777" w:rsidR="00E762E0" w:rsidRDefault="00E762E0" w:rsidP="001A4020">
            <w:r>
              <w:rPr>
                <w:b/>
                <w:bCs/>
              </w:rPr>
              <w:t>20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64A309E" w14:textId="77777777" w:rsidR="00E762E0" w:rsidRDefault="00E762E0" w:rsidP="001A4020">
            <w:r>
              <w:t>Interpretation: give a cautious overall interpretation considering objectives, limitations, multiplicity of analyses, results from similar studies, and other relevant evidence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37D5D3" w14:textId="77777777" w:rsidR="00E762E0" w:rsidRDefault="00E762E0" w:rsidP="001A4020">
            <w:r>
              <w:t>Discussion §4.1–4.8</w:t>
            </w:r>
          </w:p>
        </w:tc>
      </w:tr>
      <w:tr w:rsidR="00E762E0" w14:paraId="0C0A1435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243988" w14:textId="77777777" w:rsidR="00E762E0" w:rsidRDefault="00E762E0" w:rsidP="001A4020">
            <w:r>
              <w:rPr>
                <w:b/>
                <w:bCs/>
              </w:rPr>
              <w:t>21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BFFD5C" w14:textId="77777777" w:rsidR="00E762E0" w:rsidRDefault="00E762E0" w:rsidP="001A4020">
            <w:r>
              <w:t>Generalisability: discuss the generalisability (external validity) of the study results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B677BED" w14:textId="77777777" w:rsidR="00E762E0" w:rsidRDefault="00E762E0" w:rsidP="001A4020">
            <w:r>
              <w:t>Discussion §4.9</w:t>
            </w:r>
          </w:p>
        </w:tc>
      </w:tr>
      <w:tr w:rsidR="00E762E0" w14:paraId="550404B4" w14:textId="77777777" w:rsidTr="001A4020">
        <w:tc>
          <w:tcPr>
            <w:tcW w:w="936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6F6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B5F850" w14:textId="77777777" w:rsidR="00E762E0" w:rsidRDefault="00E762E0" w:rsidP="001A4020">
            <w:r>
              <w:rPr>
                <w:b/>
                <w:bCs/>
                <w:color w:val="FFFFFF"/>
              </w:rPr>
              <w:t>Other information</w:t>
            </w:r>
          </w:p>
        </w:tc>
      </w:tr>
      <w:tr w:rsidR="00E762E0" w14:paraId="2576BB13" w14:textId="77777777" w:rsidTr="001A4020"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35601C" w14:textId="77777777" w:rsidR="00E762E0" w:rsidRDefault="00E762E0" w:rsidP="001A4020">
            <w:r>
              <w:rPr>
                <w:b/>
                <w:bCs/>
              </w:rPr>
              <w:t>22</w:t>
            </w:r>
          </w:p>
        </w:tc>
        <w:tc>
          <w:tcPr>
            <w:tcW w:w="5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8B4C92C" w14:textId="77777777" w:rsidR="00E762E0" w:rsidRDefault="00E762E0" w:rsidP="001A4020">
            <w:r>
              <w:t>Funding: give the source of funding and the role of the funders for the present study and, if applicable, for the original study on which the present article is based</w:t>
            </w:r>
          </w:p>
        </w:tc>
        <w:tc>
          <w:tcPr>
            <w:tcW w:w="2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A965CE5" w14:textId="77777777" w:rsidR="00E762E0" w:rsidRDefault="00E762E0" w:rsidP="001A4020">
            <w:r>
              <w:t>Declarations (Funding); Title page</w:t>
            </w:r>
          </w:p>
        </w:tc>
      </w:tr>
    </w:tbl>
    <w:p w14:paraId="56F3815F" w14:textId="77777777" w:rsidR="00E762E0" w:rsidRDefault="00E762E0" w:rsidP="00E762E0">
      <w:pPr>
        <w:spacing w:before="160"/>
      </w:pPr>
      <w:r>
        <w:rPr>
          <w:i/>
          <w:iCs/>
          <w:color w:val="595959"/>
          <w:sz w:val="16"/>
          <w:szCs w:val="16"/>
        </w:rPr>
        <w:t>Section numbers refer to the headings in the submitted manuscript; page numbers can be added against the typeset proof. An Explanation and Elaboration article discusses each checklist item and is available at www.strobe-statement.org.</w:t>
      </w:r>
    </w:p>
    <w:p w14:paraId="5E6D9412" w14:textId="77777777" w:rsidR="00E762E0" w:rsidRDefault="00E762E0">
      <w:pPr>
        <w:pStyle w:val="Heading1"/>
      </w:pPr>
    </w:p>
    <w:p w14:paraId="4C45D6D9" w14:textId="5FCD34C0" w:rsidR="007F48A3" w:rsidRDefault="00000000">
      <w:pPr>
        <w:pStyle w:val="Heading1"/>
      </w:pPr>
      <w:r>
        <w:t>S2. Intrinsic-capacity domain operationalisation</w:t>
      </w:r>
    </w:p>
    <w:p w14:paraId="2E5021FE" w14:textId="77777777" w:rsidR="007F48A3" w:rsidRDefault="00000000">
      <w:pPr>
        <w:spacing w:after="140" w:line="276" w:lineRule="auto"/>
        <w:jc w:val="both"/>
      </w:pPr>
      <w:r>
        <w:t>Each domain was standardised (z-scored) on the full cohort and oriented so that higher values indicate better capacity. The composite is the mean of the six standardised domains, re-standardised to one standard deviation; hazard ratios are expressed per SD of the composite.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050"/>
        <w:gridCol w:w="3050"/>
        <w:gridCol w:w="1360"/>
      </w:tblGrid>
      <w:tr w:rsidR="007F48A3" w14:paraId="4FD95EBF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34DAF9" w14:textId="77777777" w:rsidR="007F48A3" w:rsidRDefault="00000000">
            <w:r>
              <w:rPr>
                <w:b/>
                <w:bCs/>
                <w:sz w:val="19"/>
                <w:szCs w:val="19"/>
              </w:rPr>
              <w:t>Domain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C16A29" w14:textId="77777777" w:rsidR="007F48A3" w:rsidRDefault="00000000">
            <w:r>
              <w:rPr>
                <w:b/>
                <w:bCs/>
                <w:sz w:val="19"/>
                <w:szCs w:val="19"/>
              </w:rPr>
              <w:t>Source measure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12695A" w14:textId="77777777" w:rsidR="007F48A3" w:rsidRDefault="00000000">
            <w:r>
              <w:rPr>
                <w:b/>
                <w:bCs/>
                <w:sz w:val="19"/>
                <w:szCs w:val="19"/>
              </w:rPr>
              <w:t>Derivation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60A652" w14:textId="77777777" w:rsidR="007F48A3" w:rsidRDefault="00000000">
            <w:r>
              <w:rPr>
                <w:b/>
                <w:bCs/>
                <w:sz w:val="19"/>
                <w:szCs w:val="19"/>
              </w:rPr>
              <w:t>Orientation</w:t>
            </w:r>
          </w:p>
        </w:tc>
      </w:tr>
      <w:tr w:rsidR="007F48A3" w14:paraId="50E086A2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149FC0" w14:textId="77777777" w:rsidR="007F48A3" w:rsidRDefault="00000000">
            <w:r>
              <w:rPr>
                <w:sz w:val="19"/>
                <w:szCs w:val="19"/>
              </w:rPr>
              <w:t>Cognition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4164D6" w14:textId="77777777" w:rsidR="007F48A3" w:rsidRDefault="00000000">
            <w:r>
              <w:rPr>
                <w:sz w:val="19"/>
                <w:szCs w:val="19"/>
              </w:rPr>
              <w:t>General cognitive score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C648A6" w14:textId="77777777" w:rsidR="007F48A3" w:rsidRDefault="00000000">
            <w:r>
              <w:rPr>
                <w:sz w:val="19"/>
                <w:szCs w:val="19"/>
              </w:rPr>
              <w:t>z-score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DDD927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7BBB1B52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99CA0B" w14:textId="77777777" w:rsidR="007F48A3" w:rsidRDefault="00000000">
            <w:r>
              <w:rPr>
                <w:sz w:val="19"/>
                <w:szCs w:val="19"/>
              </w:rPr>
              <w:t>Psychological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8F5FE" w14:textId="77777777" w:rsidR="007F48A3" w:rsidRDefault="00000000">
            <w:r>
              <w:rPr>
                <w:sz w:val="19"/>
                <w:szCs w:val="19"/>
              </w:rPr>
              <w:t>Depressive symptoms (CES-D-10)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31DDA1" w14:textId="77777777" w:rsidR="007F48A3" w:rsidRDefault="00000000">
            <w:r>
              <w:rPr>
                <w:sz w:val="19"/>
                <w:szCs w:val="19"/>
              </w:rPr>
              <w:t>Reverse z-score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10207C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05FDFB34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1416BE" w14:textId="77777777" w:rsidR="007F48A3" w:rsidRDefault="00000000">
            <w:r>
              <w:rPr>
                <w:sz w:val="19"/>
                <w:szCs w:val="19"/>
              </w:rPr>
              <w:t>Vitality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B95DE7" w14:textId="77777777" w:rsidR="007F48A3" w:rsidRDefault="00000000">
            <w:r>
              <w:rPr>
                <w:sz w:val="19"/>
                <w:szCs w:val="19"/>
              </w:rPr>
              <w:t>Nutritional status (MNA screen)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542974" w14:textId="77777777" w:rsidR="007F48A3" w:rsidRDefault="00000000">
            <w:r>
              <w:rPr>
                <w:sz w:val="19"/>
                <w:szCs w:val="19"/>
              </w:rPr>
              <w:t>z-score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C72C5F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6ECD281A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9AA053" w14:textId="77777777" w:rsidR="007F48A3" w:rsidRDefault="00000000">
            <w:r>
              <w:rPr>
                <w:sz w:val="19"/>
                <w:szCs w:val="19"/>
              </w:rPr>
              <w:t>Locomotion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059752" w14:textId="77777777" w:rsidR="007F48A3" w:rsidRDefault="00000000">
            <w:r>
              <w:rPr>
                <w:sz w:val="19"/>
                <w:szCs w:val="19"/>
              </w:rPr>
              <w:t>Mobility (MNA) and basic physical function (ADL)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B18B4" w14:textId="77777777" w:rsidR="007F48A3" w:rsidRDefault="00000000">
            <w:r>
              <w:rPr>
                <w:sz w:val="19"/>
                <w:szCs w:val="19"/>
              </w:rPr>
              <w:t>z( z(mobility) − z(ADL) )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3F8B3B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661AE148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86D33" w14:textId="77777777" w:rsidR="007F48A3" w:rsidRDefault="00000000">
            <w:r>
              <w:rPr>
                <w:sz w:val="19"/>
                <w:szCs w:val="19"/>
              </w:rPr>
              <w:t>Vision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D20BD4" w14:textId="77777777" w:rsidR="007F48A3" w:rsidRDefault="00000000">
            <w:r>
              <w:rPr>
                <w:sz w:val="19"/>
                <w:szCs w:val="19"/>
              </w:rPr>
              <w:t>Self-reported vision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1C96BC" w14:textId="77777777" w:rsidR="007F48A3" w:rsidRDefault="00000000">
            <w:r>
              <w:rPr>
                <w:sz w:val="19"/>
                <w:szCs w:val="19"/>
              </w:rPr>
              <w:t>Reverse z-score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CF9883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7DB5A3F3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418590" w14:textId="77777777" w:rsidR="007F48A3" w:rsidRDefault="00000000">
            <w:r>
              <w:rPr>
                <w:sz w:val="19"/>
                <w:szCs w:val="19"/>
              </w:rPr>
              <w:t>Hearing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ADA932" w14:textId="77777777" w:rsidR="007F48A3" w:rsidRDefault="00000000">
            <w:r>
              <w:rPr>
                <w:sz w:val="19"/>
                <w:szCs w:val="19"/>
              </w:rPr>
              <w:t>Self-reported hearing (right + left)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40D2BC" w14:textId="77777777" w:rsidR="007F48A3" w:rsidRDefault="00000000">
            <w:r>
              <w:rPr>
                <w:sz w:val="19"/>
                <w:szCs w:val="19"/>
              </w:rPr>
              <w:t>Reverse z-score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E13B89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  <w:tr w:rsidR="007F48A3" w14:paraId="226D8198" w14:textId="77777777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5F8F6C" w14:textId="77777777" w:rsidR="007F48A3" w:rsidRDefault="00000000">
            <w:r>
              <w:rPr>
                <w:b/>
                <w:bCs/>
              </w:rPr>
              <w:t>Composite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0DFCAC" w14:textId="77777777" w:rsidR="007F48A3" w:rsidRDefault="00000000">
            <w:r>
              <w:rPr>
                <w:sz w:val="19"/>
                <w:szCs w:val="19"/>
              </w:rPr>
              <w:t>Mean of the six domains</w:t>
            </w:r>
          </w:p>
        </w:tc>
        <w:tc>
          <w:tcPr>
            <w:tcW w:w="3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A3358A" w14:textId="77777777" w:rsidR="007F48A3" w:rsidRDefault="00000000">
            <w:r>
              <w:rPr>
                <w:sz w:val="19"/>
                <w:szCs w:val="19"/>
              </w:rPr>
              <w:t>Re-standardised (per SD)</w:t>
            </w:r>
          </w:p>
        </w:tc>
        <w:tc>
          <w:tcPr>
            <w:tcW w:w="1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49CDEA" w14:textId="77777777" w:rsidR="007F48A3" w:rsidRDefault="00000000">
            <w:r>
              <w:rPr>
                <w:sz w:val="19"/>
                <w:szCs w:val="19"/>
              </w:rPr>
              <w:t>Higher = better</w:t>
            </w:r>
          </w:p>
        </w:tc>
      </w:tr>
    </w:tbl>
    <w:p w14:paraId="5E117A29" w14:textId="77777777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The two sensory domains were derived from brief self-report; they performed poorly in the mortality models and were not interpreted (hearing ran counter to the expected direction). Composite performance therefore rests principally on the cognitive, nutritional and mobility domains.</w:t>
      </w:r>
    </w:p>
    <w:p w14:paraId="5F885DD8" w14:textId="77777777" w:rsidR="007F48A3" w:rsidRDefault="00000000">
      <w:r>
        <w:br w:type="page"/>
      </w:r>
    </w:p>
    <w:p w14:paraId="0D851757" w14:textId="77777777" w:rsidR="007F48A3" w:rsidRDefault="00000000">
      <w:pPr>
        <w:pStyle w:val="Heading1"/>
      </w:pPr>
      <w:r>
        <w:lastRenderedPageBreak/>
        <w:t>S3. Split-sample validation</w:t>
      </w:r>
    </w:p>
    <w:p w14:paraId="45DD1F59" w14:textId="77777777" w:rsidR="007F48A3" w:rsidRDefault="00000000">
      <w:pPr>
        <w:spacing w:after="140" w:line="276" w:lineRule="auto"/>
        <w:jc w:val="both"/>
      </w:pPr>
      <w:r>
        <w:t>The cohort was randomly divided into two equal halves (seed 42). The principal analyses were repeated in each half. Estimates are consistent in direction and magnitude across halves; precision is lower in the smaller discordance cells, as expected.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500"/>
        <w:gridCol w:w="2500"/>
      </w:tblGrid>
      <w:tr w:rsidR="007F48A3" w14:paraId="269705A3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0882C1" w14:textId="77777777" w:rsidR="007F48A3" w:rsidRDefault="00000000">
            <w:r>
              <w:rPr>
                <w:b/>
                <w:bCs/>
                <w:sz w:val="19"/>
                <w:szCs w:val="19"/>
              </w:rPr>
              <w:t>Estimate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8D15C2" w14:textId="77777777" w:rsidR="007F48A3" w:rsidRDefault="00000000">
            <w:r>
              <w:rPr>
                <w:b/>
                <w:bCs/>
                <w:sz w:val="19"/>
                <w:szCs w:val="19"/>
              </w:rPr>
              <w:t>Half A (n = 1,619; 314 deaths)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887FAF" w14:textId="77777777" w:rsidR="007F48A3" w:rsidRDefault="00000000">
            <w:r>
              <w:rPr>
                <w:b/>
                <w:bCs/>
                <w:sz w:val="19"/>
                <w:szCs w:val="19"/>
              </w:rPr>
              <w:t>Half B (n = 1,641; 328 deaths)</w:t>
            </w:r>
          </w:p>
        </w:tc>
      </w:tr>
      <w:tr w:rsidR="007F48A3" w14:paraId="0FE8B406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C00660" w14:textId="77777777" w:rsidR="007F48A3" w:rsidRDefault="00000000">
            <w:r>
              <w:rPr>
                <w:sz w:val="19"/>
                <w:szCs w:val="19"/>
              </w:rPr>
              <w:t>Intrinsic capacity, joint model (HR/SD)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C14148" w14:textId="77777777" w:rsidR="007F48A3" w:rsidRDefault="00000000">
            <w:r>
              <w:rPr>
                <w:sz w:val="19"/>
                <w:szCs w:val="19"/>
              </w:rPr>
              <w:t>0.81 (0.72–0.91)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F227AC" w14:textId="77777777" w:rsidR="007F48A3" w:rsidRDefault="00000000">
            <w:r>
              <w:rPr>
                <w:sz w:val="19"/>
                <w:szCs w:val="19"/>
              </w:rPr>
              <w:t>0.87 (0.77–0.98)</w:t>
            </w:r>
          </w:p>
        </w:tc>
      </w:tr>
      <w:tr w:rsidR="007F48A3" w14:paraId="15B0CE72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4F090B" w14:textId="77777777" w:rsidR="007F48A3" w:rsidRDefault="00000000">
            <w:r>
              <w:rPr>
                <w:sz w:val="19"/>
                <w:szCs w:val="19"/>
              </w:rPr>
              <w:t>Physical phenotype, joint model (HR/SD)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1AD40D" w14:textId="77777777" w:rsidR="007F48A3" w:rsidRDefault="00000000">
            <w:r>
              <w:rPr>
                <w:sz w:val="19"/>
                <w:szCs w:val="19"/>
              </w:rPr>
              <w:t>1.19 (1.06–1.33)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459D4F" w14:textId="77777777" w:rsidR="007F48A3" w:rsidRDefault="00000000">
            <w:r>
              <w:rPr>
                <w:sz w:val="19"/>
                <w:szCs w:val="19"/>
              </w:rPr>
              <w:t>1.34 (1.20–1.50)</w:t>
            </w:r>
          </w:p>
        </w:tc>
      </w:tr>
      <w:tr w:rsidR="007F48A3" w14:paraId="1665A6B8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ECB0E0" w14:textId="77777777" w:rsidR="007F48A3" w:rsidRDefault="00000000">
            <w:r>
              <w:rPr>
                <w:sz w:val="19"/>
                <w:szCs w:val="19"/>
              </w:rPr>
              <w:t>Missed group: low-capacity robust vs reference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4A4377" w14:textId="77777777" w:rsidR="007F48A3" w:rsidRDefault="00000000">
            <w:r>
              <w:rPr>
                <w:sz w:val="19"/>
                <w:szCs w:val="19"/>
              </w:rPr>
              <w:t>1.87 (1.09–3.21)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0AE7A6" w14:textId="77777777" w:rsidR="007F48A3" w:rsidRDefault="00000000">
            <w:r>
              <w:rPr>
                <w:sz w:val="19"/>
                <w:szCs w:val="19"/>
              </w:rPr>
              <w:t>2.12 (1.21–3.73)</w:t>
            </w:r>
          </w:p>
        </w:tc>
      </w:tr>
      <w:tr w:rsidR="007F48A3" w14:paraId="0913AFBB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B9AB65" w14:textId="77777777" w:rsidR="007F48A3" w:rsidRDefault="00000000">
            <w:r>
              <w:rPr>
                <w:sz w:val="19"/>
                <w:szCs w:val="19"/>
              </w:rPr>
              <w:t>Cognition among non-frail participants (HR/SD)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F137A0" w14:textId="77777777" w:rsidR="007F48A3" w:rsidRDefault="00000000">
            <w:r>
              <w:rPr>
                <w:sz w:val="19"/>
                <w:szCs w:val="19"/>
              </w:rPr>
              <w:t>0.76 (0.55–1.06)</w:t>
            </w:r>
          </w:p>
        </w:tc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EFF195" w14:textId="77777777" w:rsidR="007F48A3" w:rsidRDefault="00000000">
            <w:r>
              <w:rPr>
                <w:sz w:val="19"/>
                <w:szCs w:val="19"/>
              </w:rPr>
              <w:t>0.67 (0.49–0.92)</w:t>
            </w:r>
          </w:p>
        </w:tc>
      </w:tr>
    </w:tbl>
    <w:p w14:paraId="5349612A" w14:textId="77777777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Missed-group hazard ratios are from the four-group model (high-capacity robust as reference), matching Figure 3. Both halves show an approximately two-fold hazard in the physically robust, low-capacity group, and lower mortality with higher cognition among non-frail participants.</w:t>
      </w:r>
    </w:p>
    <w:p w14:paraId="412165FE" w14:textId="77777777" w:rsidR="007F48A3" w:rsidRDefault="00000000">
      <w:r>
        <w:br w:type="page"/>
      </w:r>
    </w:p>
    <w:p w14:paraId="3952A408" w14:textId="77777777" w:rsidR="007F48A3" w:rsidRDefault="00000000">
      <w:pPr>
        <w:pStyle w:val="Heading1"/>
      </w:pPr>
      <w:r>
        <w:lastRenderedPageBreak/>
        <w:t>S4. Frailty-index sensitivity analysis</w:t>
      </w:r>
    </w:p>
    <w:p w14:paraId="326B89D2" w14:textId="77777777" w:rsidR="007F48A3" w:rsidRDefault="00000000">
      <w:pPr>
        <w:spacing w:after="140" w:line="276" w:lineRule="auto"/>
        <w:jc w:val="both"/>
      </w:pPr>
      <w:r>
        <w:t>To examine why the physical phenotype, rather than a deficit-accumulation frailty index, was used as the comparator, the analysis was repeated with a published LASI-DAD frailty index in place of the phenotype, on the same analytic sample (n = 3,260).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3000"/>
      </w:tblGrid>
      <w:tr w:rsidR="007F48A3" w14:paraId="6811B948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92F8A1" w14:textId="77777777" w:rsidR="007F48A3" w:rsidRDefault="00000000">
            <w:r>
              <w:rPr>
                <w:b/>
                <w:bCs/>
                <w:sz w:val="19"/>
                <w:szCs w:val="19"/>
              </w:rPr>
              <w:t>Quantity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59334C" w14:textId="77777777" w:rsidR="007F48A3" w:rsidRDefault="00000000">
            <w:r>
              <w:rPr>
                <w:b/>
                <w:bCs/>
                <w:sz w:val="19"/>
                <w:szCs w:val="19"/>
              </w:rPr>
              <w:t>Value</w:t>
            </w:r>
          </w:p>
        </w:tc>
      </w:tr>
      <w:tr w:rsidR="007F48A3" w14:paraId="235E3BA3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FDF4B9" w14:textId="77777777" w:rsidR="007F48A3" w:rsidRDefault="00000000">
            <w:r>
              <w:rPr>
                <w:sz w:val="19"/>
                <w:szCs w:val="19"/>
              </w:rPr>
              <w:t>Correlation between intrinsic capacity and the frailty index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A21075" w14:textId="77777777" w:rsidR="007F48A3" w:rsidRDefault="00000000">
            <w:r>
              <w:rPr>
                <w:sz w:val="19"/>
                <w:szCs w:val="19"/>
              </w:rPr>
              <w:t>r = −0.73</w:t>
            </w:r>
          </w:p>
        </w:tc>
      </w:tr>
      <w:tr w:rsidR="007F48A3" w14:paraId="55D7D089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229B9A" w14:textId="77777777" w:rsidR="007F48A3" w:rsidRDefault="00000000">
            <w:r>
              <w:rPr>
                <w:sz w:val="19"/>
                <w:szCs w:val="19"/>
              </w:rPr>
              <w:t>Intrinsic capacity, joint model with the frailty index (HR/SD)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B85669" w14:textId="77777777" w:rsidR="007F48A3" w:rsidRDefault="00000000">
            <w:r>
              <w:rPr>
                <w:sz w:val="19"/>
                <w:szCs w:val="19"/>
              </w:rPr>
              <w:t>1.01 (0.90–1.14)</w:t>
            </w:r>
          </w:p>
        </w:tc>
      </w:tr>
      <w:tr w:rsidR="007F48A3" w14:paraId="11FED633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68022B" w14:textId="77777777" w:rsidR="007F48A3" w:rsidRDefault="00000000">
            <w:r>
              <w:rPr>
                <w:sz w:val="19"/>
                <w:szCs w:val="19"/>
              </w:rPr>
              <w:t>Frailty index, joint model (HR/SD)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2802C3" w14:textId="77777777" w:rsidR="007F48A3" w:rsidRDefault="00000000">
            <w:r>
              <w:rPr>
                <w:sz w:val="19"/>
                <w:szCs w:val="19"/>
              </w:rPr>
              <w:t>1.41 (1.27–1.56)</w:t>
            </w:r>
          </w:p>
        </w:tc>
      </w:tr>
      <w:tr w:rsidR="007F48A3" w14:paraId="3E54F4C0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6C1075" w14:textId="77777777" w:rsidR="007F48A3" w:rsidRDefault="00000000">
            <w:r>
              <w:rPr>
                <w:sz w:val="19"/>
                <w:szCs w:val="19"/>
              </w:rPr>
              <w:t>Discrimination (Harrell's C): age + sex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C03F9A" w14:textId="77777777" w:rsidR="007F48A3" w:rsidRDefault="00000000">
            <w:r>
              <w:rPr>
                <w:sz w:val="19"/>
                <w:szCs w:val="19"/>
              </w:rPr>
              <w:t>0.663</w:t>
            </w:r>
          </w:p>
        </w:tc>
      </w:tr>
      <w:tr w:rsidR="007F48A3" w14:paraId="01B3B8DC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3E429D" w14:textId="77777777" w:rsidR="007F48A3" w:rsidRDefault="00000000">
            <w:r>
              <w:rPr>
                <w:sz w:val="19"/>
                <w:szCs w:val="19"/>
              </w:rPr>
              <w:t>Discrimination: + frailty index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8E6B35" w14:textId="77777777" w:rsidR="007F48A3" w:rsidRDefault="00000000">
            <w:r>
              <w:rPr>
                <w:sz w:val="19"/>
                <w:szCs w:val="19"/>
              </w:rPr>
              <w:t>0.687</w:t>
            </w:r>
          </w:p>
        </w:tc>
      </w:tr>
      <w:tr w:rsidR="007F48A3" w14:paraId="17141D05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C772E9" w14:textId="77777777" w:rsidR="007F48A3" w:rsidRDefault="00000000">
            <w:r>
              <w:rPr>
                <w:sz w:val="19"/>
                <w:szCs w:val="19"/>
              </w:rPr>
              <w:t>Discrimination: + intrinsic capacity + frailty index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904E2F" w14:textId="77777777" w:rsidR="007F48A3" w:rsidRDefault="00000000">
            <w:r>
              <w:rPr>
                <w:sz w:val="19"/>
                <w:szCs w:val="19"/>
              </w:rPr>
              <w:t>0.687</w:t>
            </w:r>
          </w:p>
        </w:tc>
      </w:tr>
    </w:tbl>
    <w:p w14:paraId="79AA0847" w14:textId="1E81C769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The capacity composite and the frailty index are strongly correlated. In a joint model the index absorbs capacity entirely (capacity HR 1.01, non-significant) and capacity adds no discrimination beyond the index. This is the expected result of a deficit index re-measuring capacity's own domains plus comorbidity, and is why the physical phenotype</w:t>
      </w:r>
      <w:r w:rsidR="00F624A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is the informative comparator in the main analysis.</w:t>
      </w:r>
    </w:p>
    <w:p w14:paraId="0B0C863B" w14:textId="77777777" w:rsidR="007F48A3" w:rsidRDefault="00000000">
      <w:r>
        <w:br w:type="page"/>
      </w:r>
    </w:p>
    <w:p w14:paraId="7A86316A" w14:textId="77777777" w:rsidR="007F48A3" w:rsidRDefault="00000000">
      <w:pPr>
        <w:pStyle w:val="Heading1"/>
      </w:pPr>
      <w:r>
        <w:lastRenderedPageBreak/>
        <w:t>S5. Alternative cut-points and fuller-covariate models</w:t>
      </w:r>
    </w:p>
    <w:p w14:paraId="0922A141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 xml:space="preserve">S5a. Joint model with fuller covariate adjustment. </w:t>
      </w:r>
      <w:r>
        <w:t>Adjusted for age, sex, years of education, marital status, rural residence, body-mass index, and comorbidity count (n = 3,260).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3000"/>
      </w:tblGrid>
      <w:tr w:rsidR="007F48A3" w14:paraId="582736CD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90E3E7" w14:textId="77777777" w:rsidR="007F48A3" w:rsidRDefault="00000000">
            <w:r>
              <w:rPr>
                <w:b/>
                <w:bCs/>
                <w:sz w:val="19"/>
                <w:szCs w:val="19"/>
              </w:rPr>
              <w:t>Predictor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83CB9E" w14:textId="77777777" w:rsidR="007F48A3" w:rsidRDefault="00000000">
            <w:r>
              <w:rPr>
                <w:b/>
                <w:bCs/>
                <w:sz w:val="19"/>
                <w:szCs w:val="19"/>
              </w:rPr>
              <w:t>HR (95% CI) per SD</w:t>
            </w:r>
          </w:p>
        </w:tc>
      </w:tr>
      <w:tr w:rsidR="007F48A3" w14:paraId="56AFB918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6E3E78" w14:textId="77777777" w:rsidR="007F48A3" w:rsidRDefault="00000000">
            <w:r>
              <w:rPr>
                <w:sz w:val="19"/>
                <w:szCs w:val="19"/>
              </w:rPr>
              <w:t>Intrinsic capacity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5F864A" w14:textId="77777777" w:rsidR="007F48A3" w:rsidRDefault="00000000">
            <w:r>
              <w:rPr>
                <w:sz w:val="19"/>
                <w:szCs w:val="19"/>
              </w:rPr>
              <w:t>0.89 (0.81–0.98)</w:t>
            </w:r>
          </w:p>
        </w:tc>
      </w:tr>
      <w:tr w:rsidR="007F48A3" w14:paraId="43052496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5CC35C" w14:textId="77777777" w:rsidR="007F48A3" w:rsidRDefault="00000000">
            <w:r>
              <w:rPr>
                <w:sz w:val="19"/>
                <w:szCs w:val="19"/>
              </w:rPr>
              <w:t>Physical frailty phenotype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BF5AA4" w14:textId="77777777" w:rsidR="007F48A3" w:rsidRDefault="00000000">
            <w:r>
              <w:rPr>
                <w:sz w:val="19"/>
                <w:szCs w:val="19"/>
              </w:rPr>
              <w:t>1.26 (1.16–1.36)</w:t>
            </w:r>
          </w:p>
        </w:tc>
      </w:tr>
    </w:tbl>
    <w:p w14:paraId="3759749F" w14:textId="77777777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Both associations persist with fuller adjustment, indicating the complementarity is not explained by demographic, anthropometric, or comorbidity differences.</w:t>
      </w:r>
    </w:p>
    <w:p w14:paraId="7DDBC156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 xml:space="preserve">S5b. Physical phenotype entered as categories </w:t>
      </w:r>
      <w:r>
        <w:t>(robust as reference), jointly with intrinsic capacity.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3000"/>
      </w:tblGrid>
      <w:tr w:rsidR="007F48A3" w14:paraId="3579878E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950EAE" w14:textId="77777777" w:rsidR="007F48A3" w:rsidRDefault="00000000">
            <w:r>
              <w:rPr>
                <w:b/>
                <w:bCs/>
                <w:sz w:val="19"/>
                <w:szCs w:val="19"/>
              </w:rPr>
              <w:t>Predictor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610E96" w14:textId="77777777" w:rsidR="007F48A3" w:rsidRDefault="00000000">
            <w:r>
              <w:rPr>
                <w:b/>
                <w:bCs/>
                <w:sz w:val="19"/>
                <w:szCs w:val="19"/>
              </w:rPr>
              <w:t>HR (95% CI)</w:t>
            </w:r>
          </w:p>
        </w:tc>
      </w:tr>
      <w:tr w:rsidR="007F48A3" w14:paraId="62EFE656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521E1E" w14:textId="77777777" w:rsidR="007F48A3" w:rsidRDefault="00000000">
            <w:r>
              <w:rPr>
                <w:sz w:val="19"/>
                <w:szCs w:val="19"/>
              </w:rPr>
              <w:t>Intrinsic capacity (per SD)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5A1BF8" w14:textId="77777777" w:rsidR="007F48A3" w:rsidRDefault="00000000">
            <w:r>
              <w:rPr>
                <w:sz w:val="19"/>
                <w:szCs w:val="19"/>
              </w:rPr>
              <w:t>0.83 (0.76–0.90)</w:t>
            </w:r>
          </w:p>
        </w:tc>
      </w:tr>
      <w:tr w:rsidR="007F48A3" w14:paraId="63660A90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646B27" w14:textId="77777777" w:rsidR="007F48A3" w:rsidRDefault="00000000">
            <w:r>
              <w:rPr>
                <w:sz w:val="19"/>
                <w:szCs w:val="19"/>
              </w:rPr>
              <w:t>Pre-frail (1–2 criteria) vs robust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6F7EF3" w14:textId="77777777" w:rsidR="007F48A3" w:rsidRDefault="00000000">
            <w:r>
              <w:rPr>
                <w:sz w:val="19"/>
                <w:szCs w:val="19"/>
              </w:rPr>
              <w:t>1.20 (0.96–1.50)</w:t>
            </w:r>
          </w:p>
        </w:tc>
      </w:tr>
      <w:tr w:rsidR="007F48A3" w14:paraId="5196BF67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B031CB" w14:textId="77777777" w:rsidR="007F48A3" w:rsidRDefault="00000000">
            <w:r>
              <w:rPr>
                <w:sz w:val="19"/>
                <w:szCs w:val="19"/>
              </w:rPr>
              <w:t>Frail (≥3 criteria) vs robust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731FC5" w14:textId="77777777" w:rsidR="007F48A3" w:rsidRDefault="00000000">
            <w:r>
              <w:rPr>
                <w:sz w:val="19"/>
                <w:szCs w:val="19"/>
              </w:rPr>
              <w:t>1.97 (1.50–2.59)</w:t>
            </w:r>
          </w:p>
        </w:tc>
      </w:tr>
    </w:tbl>
    <w:p w14:paraId="1F39AF8E" w14:textId="77777777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Capacity remains protective and the frail category strongly predictive when the phenotype is modelled categorically, confirming the complementarity is not an artefact of the continuous 0–5 coding.</w:t>
      </w:r>
    </w:p>
    <w:p w14:paraId="0310ABF6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 xml:space="preserve">S5c. Alternative capacity threshold for the discordance analysis. </w:t>
      </w:r>
      <w:r>
        <w:t>Among physically robust participants only, comparing the bottom and top thirds of intrinsic capacity (n = 555; 74 deaths).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3000"/>
      </w:tblGrid>
      <w:tr w:rsidR="007F48A3" w14:paraId="4F9D99D2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A1B9E2" w14:textId="77777777" w:rsidR="007F48A3" w:rsidRDefault="00000000">
            <w:r>
              <w:rPr>
                <w:b/>
                <w:bCs/>
                <w:sz w:val="19"/>
                <w:szCs w:val="19"/>
              </w:rPr>
              <w:t>Comparison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64F1D1" w14:textId="77777777" w:rsidR="007F48A3" w:rsidRDefault="00000000">
            <w:r>
              <w:rPr>
                <w:b/>
                <w:bCs/>
                <w:sz w:val="19"/>
                <w:szCs w:val="19"/>
              </w:rPr>
              <w:t>HR (95% CI)</w:t>
            </w:r>
          </w:p>
        </w:tc>
      </w:tr>
      <w:tr w:rsidR="007F48A3" w14:paraId="440993B0" w14:textId="77777777"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22DE49" w14:textId="77777777" w:rsidR="007F48A3" w:rsidRDefault="00000000">
            <w:r>
              <w:rPr>
                <w:sz w:val="19"/>
                <w:szCs w:val="19"/>
              </w:rPr>
              <w:t>Bottom vs top capacity tertile, robust participants</w:t>
            </w:r>
          </w:p>
        </w:tc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B67DEC" w14:textId="77777777" w:rsidR="007F48A3" w:rsidRDefault="00000000">
            <w:r>
              <w:rPr>
                <w:sz w:val="19"/>
                <w:szCs w:val="19"/>
              </w:rPr>
              <w:t>2.11 (1.29–3.45)</w:t>
            </w:r>
          </w:p>
        </w:tc>
      </w:tr>
    </w:tbl>
    <w:p w14:paraId="3E738F52" w14:textId="77777777" w:rsidR="007F48A3" w:rsidRDefault="00000000">
      <w:pPr>
        <w:spacing w:before="60" w:after="140"/>
      </w:pPr>
      <w:r>
        <w:rPr>
          <w:i/>
          <w:iCs/>
          <w:sz w:val="18"/>
          <w:szCs w:val="18"/>
        </w:rPr>
        <w:t>The missed-group effect is robust to the choice of capacity threshold: physically robust participants in the lowest third of capacity die at roughly twice the rate of those in the highest third.</w:t>
      </w:r>
    </w:p>
    <w:p w14:paraId="724E0218" w14:textId="77777777" w:rsidR="007F48A3" w:rsidRDefault="00000000">
      <w:r>
        <w:br w:type="page"/>
      </w:r>
    </w:p>
    <w:p w14:paraId="35B35399" w14:textId="77777777" w:rsidR="007F48A3" w:rsidRDefault="00000000">
      <w:pPr>
        <w:pStyle w:val="Heading1"/>
      </w:pPr>
      <w:r>
        <w:lastRenderedPageBreak/>
        <w:t>S6. Proportional-hazards diagnostics</w:t>
      </w:r>
    </w:p>
    <w:p w14:paraId="3B9AD83E" w14:textId="77777777" w:rsidR="007F48A3" w:rsidRDefault="00000000">
      <w:pPr>
        <w:spacing w:after="140" w:line="276" w:lineRule="auto"/>
        <w:jc w:val="both"/>
      </w:pPr>
      <w:r>
        <w:t>The proportional-hazards assumption was assessed using Schoenfeld residuals, testing the correlation between scaled residuals and follow-up time (by rank) for each covariate. Results are shown for the joint model (intrinsic capacity and the phenotype) and for the cognition-and-phenotype model.</w:t>
      </w:r>
    </w:p>
    <w:p w14:paraId="3E669D30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>Joint model (intrinsic capacity + phenotype + age + sex)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900"/>
        <w:gridCol w:w="2100"/>
      </w:tblGrid>
      <w:tr w:rsidR="007F48A3" w14:paraId="160CAE26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A90C0A" w14:textId="77777777" w:rsidR="007F48A3" w:rsidRDefault="00000000">
            <w:r>
              <w:rPr>
                <w:b/>
                <w:bCs/>
                <w:sz w:val="19"/>
                <w:szCs w:val="19"/>
              </w:rPr>
              <w:t>Covariate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3F87B1" w14:textId="77777777" w:rsidR="007F48A3" w:rsidRDefault="00000000">
            <w:r>
              <w:rPr>
                <w:b/>
                <w:bCs/>
                <w:sz w:val="19"/>
                <w:szCs w:val="19"/>
              </w:rPr>
              <w:t>Correlation with time (ρ)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4563A7" w14:textId="77777777" w:rsidR="007F48A3" w:rsidRDefault="00000000">
            <w:r>
              <w:rPr>
                <w:b/>
                <w:bCs/>
                <w:sz w:val="19"/>
                <w:szCs w:val="19"/>
              </w:rPr>
              <w:t>p value</w:t>
            </w:r>
          </w:p>
        </w:tc>
      </w:tr>
      <w:tr w:rsidR="007F48A3" w14:paraId="61F80A04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81AF48" w14:textId="77777777" w:rsidR="007F48A3" w:rsidRDefault="00000000">
            <w:r>
              <w:rPr>
                <w:sz w:val="19"/>
                <w:szCs w:val="19"/>
              </w:rPr>
              <w:t>Intrinsic capacity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2E684D" w14:textId="77777777" w:rsidR="007F48A3" w:rsidRDefault="00000000">
            <w:r>
              <w:rPr>
                <w:sz w:val="19"/>
                <w:szCs w:val="19"/>
              </w:rPr>
              <w:t>−0.097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641149" w14:textId="77777777" w:rsidR="007F48A3" w:rsidRDefault="00000000">
            <w:r>
              <w:rPr>
                <w:sz w:val="19"/>
                <w:szCs w:val="19"/>
              </w:rPr>
              <w:t>0.014</w:t>
            </w:r>
          </w:p>
        </w:tc>
      </w:tr>
      <w:tr w:rsidR="007F48A3" w14:paraId="0C3CBFC4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A515E5" w14:textId="77777777" w:rsidR="007F48A3" w:rsidRDefault="00000000">
            <w:r>
              <w:rPr>
                <w:sz w:val="19"/>
                <w:szCs w:val="19"/>
              </w:rPr>
              <w:t>Physical phenotype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45AEE1" w14:textId="77777777" w:rsidR="007F48A3" w:rsidRDefault="00000000">
            <w:r>
              <w:rPr>
                <w:sz w:val="19"/>
                <w:szCs w:val="19"/>
              </w:rPr>
              <w:t>0.131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52F2E2" w14:textId="77777777" w:rsidR="007F48A3" w:rsidRDefault="00000000">
            <w:r>
              <w:rPr>
                <w:sz w:val="19"/>
                <w:szCs w:val="19"/>
              </w:rPr>
              <w:t>0.001</w:t>
            </w:r>
          </w:p>
        </w:tc>
      </w:tr>
      <w:tr w:rsidR="007F48A3" w14:paraId="1FAB5050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9578C1" w14:textId="77777777" w:rsidR="007F48A3" w:rsidRDefault="00000000">
            <w:r>
              <w:rPr>
                <w:sz w:val="19"/>
                <w:szCs w:val="19"/>
              </w:rPr>
              <w:t>Age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464095" w14:textId="77777777" w:rsidR="007F48A3" w:rsidRDefault="00000000">
            <w:r>
              <w:rPr>
                <w:sz w:val="19"/>
                <w:szCs w:val="19"/>
              </w:rPr>
              <w:t>0.140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285E02" w14:textId="77777777" w:rsidR="007F48A3" w:rsidRDefault="00000000">
            <w:r>
              <w:rPr>
                <w:sz w:val="19"/>
                <w:szCs w:val="19"/>
              </w:rPr>
              <w:t>&lt;0.001</w:t>
            </w:r>
          </w:p>
        </w:tc>
      </w:tr>
      <w:tr w:rsidR="007F48A3" w14:paraId="25063887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34E1E3" w14:textId="77777777" w:rsidR="007F48A3" w:rsidRDefault="00000000">
            <w:r>
              <w:rPr>
                <w:sz w:val="19"/>
                <w:szCs w:val="19"/>
              </w:rPr>
              <w:t>Sex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CA6642" w14:textId="77777777" w:rsidR="007F48A3" w:rsidRDefault="00000000">
            <w:r>
              <w:rPr>
                <w:sz w:val="19"/>
                <w:szCs w:val="19"/>
              </w:rPr>
              <w:t>−0.063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C1AC92" w14:textId="77777777" w:rsidR="007F48A3" w:rsidRDefault="00000000">
            <w:r>
              <w:rPr>
                <w:sz w:val="19"/>
                <w:szCs w:val="19"/>
              </w:rPr>
              <w:t>0.111</w:t>
            </w:r>
          </w:p>
        </w:tc>
      </w:tr>
    </w:tbl>
    <w:p w14:paraId="7AB36490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>Cognition + phenotype + age + sex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900"/>
        <w:gridCol w:w="2100"/>
      </w:tblGrid>
      <w:tr w:rsidR="007F48A3" w14:paraId="4968294A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25DA21" w14:textId="77777777" w:rsidR="007F48A3" w:rsidRDefault="00000000">
            <w:r>
              <w:rPr>
                <w:b/>
                <w:bCs/>
                <w:sz w:val="19"/>
                <w:szCs w:val="19"/>
              </w:rPr>
              <w:t>Covariate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2DFA87" w14:textId="77777777" w:rsidR="007F48A3" w:rsidRDefault="00000000">
            <w:r>
              <w:rPr>
                <w:b/>
                <w:bCs/>
                <w:sz w:val="19"/>
                <w:szCs w:val="19"/>
              </w:rPr>
              <w:t>Correlation with time (ρ)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EF4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F10561" w14:textId="77777777" w:rsidR="007F48A3" w:rsidRDefault="00000000">
            <w:r>
              <w:rPr>
                <w:b/>
                <w:bCs/>
                <w:sz w:val="19"/>
                <w:szCs w:val="19"/>
              </w:rPr>
              <w:t>p value</w:t>
            </w:r>
          </w:p>
        </w:tc>
      </w:tr>
      <w:tr w:rsidR="007F48A3" w14:paraId="2D61B9E4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04C790" w14:textId="77777777" w:rsidR="007F48A3" w:rsidRDefault="00000000">
            <w:r>
              <w:rPr>
                <w:sz w:val="19"/>
                <w:szCs w:val="19"/>
              </w:rPr>
              <w:t>Cognition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68A453" w14:textId="77777777" w:rsidR="007F48A3" w:rsidRDefault="00000000">
            <w:r>
              <w:rPr>
                <w:sz w:val="19"/>
                <w:szCs w:val="19"/>
              </w:rPr>
              <w:t>−0.067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74C2CB" w14:textId="77777777" w:rsidR="007F48A3" w:rsidRDefault="00000000">
            <w:r>
              <w:rPr>
                <w:sz w:val="19"/>
                <w:szCs w:val="19"/>
              </w:rPr>
              <w:t>0.091</w:t>
            </w:r>
          </w:p>
        </w:tc>
      </w:tr>
      <w:tr w:rsidR="007F48A3" w14:paraId="5737221D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2538FF" w14:textId="77777777" w:rsidR="007F48A3" w:rsidRDefault="00000000">
            <w:r>
              <w:rPr>
                <w:sz w:val="19"/>
                <w:szCs w:val="19"/>
              </w:rPr>
              <w:t>Physical phenotype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0847F5" w14:textId="77777777" w:rsidR="007F48A3" w:rsidRDefault="00000000">
            <w:r>
              <w:rPr>
                <w:sz w:val="19"/>
                <w:szCs w:val="19"/>
              </w:rPr>
              <w:t>0.134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BD5A1F" w14:textId="77777777" w:rsidR="007F48A3" w:rsidRDefault="00000000">
            <w:r>
              <w:rPr>
                <w:sz w:val="19"/>
                <w:szCs w:val="19"/>
              </w:rPr>
              <w:t>0.001</w:t>
            </w:r>
          </w:p>
        </w:tc>
      </w:tr>
      <w:tr w:rsidR="007F48A3" w14:paraId="7BBF78FE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249DFB" w14:textId="77777777" w:rsidR="007F48A3" w:rsidRDefault="00000000">
            <w:r>
              <w:rPr>
                <w:sz w:val="19"/>
                <w:szCs w:val="19"/>
              </w:rPr>
              <w:t>Age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CD9229" w14:textId="77777777" w:rsidR="007F48A3" w:rsidRDefault="00000000">
            <w:r>
              <w:rPr>
                <w:sz w:val="19"/>
                <w:szCs w:val="19"/>
              </w:rPr>
              <w:t>0.138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6CD8A1" w14:textId="77777777" w:rsidR="007F48A3" w:rsidRDefault="00000000">
            <w:r>
              <w:rPr>
                <w:sz w:val="19"/>
                <w:szCs w:val="19"/>
              </w:rPr>
              <w:t>&lt;0.001</w:t>
            </w:r>
          </w:p>
        </w:tc>
      </w:tr>
      <w:tr w:rsidR="007F48A3" w14:paraId="3F549AE1" w14:textId="77777777"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91A6AD" w14:textId="77777777" w:rsidR="007F48A3" w:rsidRDefault="00000000">
            <w:r>
              <w:rPr>
                <w:sz w:val="19"/>
                <w:szCs w:val="19"/>
              </w:rPr>
              <w:t>Sex</w:t>
            </w:r>
          </w:p>
        </w:tc>
        <w:tc>
          <w:tcPr>
            <w:tcW w:w="2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B4252C" w14:textId="77777777" w:rsidR="007F48A3" w:rsidRDefault="00000000">
            <w:r>
              <w:rPr>
                <w:sz w:val="19"/>
                <w:szCs w:val="19"/>
              </w:rPr>
              <w:t>−0.063</w:t>
            </w:r>
          </w:p>
        </w:tc>
        <w:tc>
          <w:tcPr>
            <w:tcW w:w="2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02D93C" w14:textId="77777777" w:rsidR="007F48A3" w:rsidRDefault="00000000">
            <w:r>
              <w:rPr>
                <w:sz w:val="19"/>
                <w:szCs w:val="19"/>
              </w:rPr>
              <w:t>0.113</w:t>
            </w:r>
          </w:p>
        </w:tc>
      </w:tr>
    </w:tbl>
    <w:p w14:paraId="2BC6798A" w14:textId="77777777" w:rsidR="007F48A3" w:rsidRDefault="00000000">
      <w:pPr>
        <w:spacing w:after="140" w:line="276" w:lineRule="auto"/>
        <w:jc w:val="both"/>
      </w:pPr>
      <w:r>
        <w:rPr>
          <w:b/>
          <w:bCs/>
        </w:rPr>
        <w:t xml:space="preserve">Interpretation. </w:t>
      </w:r>
      <w:r>
        <w:t>Mild but statistically significant departures from proportionality were detected for age, intrinsic capacity, and the physical phenotype. The correlations are weak (|ρ| ≈ 0.10–0.14) and reach significance largely because of the number of events (642), a common occurrence in large cohorts; the cognition term itself did not show significant non-proportionality (p = 0.09). Hazard ratios should therefore be interpreted as effects averaged over the approximately seven-year follow-up rather than as constant instantaneous ratios. The study's conclusions — that capacity and the phenotype are complementary, that cognition is the domain adding prognostic information, and that a physically robust low-capacity group carries excess mortality — concern the presence and relative magnitude of associations and the existence of the discordant group, and are not affected by mild non-proportionality.</w:t>
      </w:r>
    </w:p>
    <w:sectPr w:rsidR="007F48A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406F7B"/>
    <w:multiLevelType w:val="hybridMultilevel"/>
    <w:tmpl w:val="08120A68"/>
    <w:lvl w:ilvl="0" w:tplc="AD262EA0">
      <w:start w:val="1"/>
      <w:numFmt w:val="bullet"/>
      <w:lvlText w:val="●"/>
      <w:lvlJc w:val="left"/>
      <w:pPr>
        <w:ind w:left="720" w:hanging="360"/>
      </w:pPr>
    </w:lvl>
    <w:lvl w:ilvl="1" w:tplc="2C008B78">
      <w:start w:val="1"/>
      <w:numFmt w:val="bullet"/>
      <w:lvlText w:val="○"/>
      <w:lvlJc w:val="left"/>
      <w:pPr>
        <w:ind w:left="1440" w:hanging="360"/>
      </w:pPr>
    </w:lvl>
    <w:lvl w:ilvl="2" w:tplc="19483016">
      <w:start w:val="1"/>
      <w:numFmt w:val="bullet"/>
      <w:lvlText w:val="■"/>
      <w:lvlJc w:val="left"/>
      <w:pPr>
        <w:ind w:left="2160" w:hanging="360"/>
      </w:pPr>
    </w:lvl>
    <w:lvl w:ilvl="3" w:tplc="174E5162">
      <w:start w:val="1"/>
      <w:numFmt w:val="bullet"/>
      <w:lvlText w:val="●"/>
      <w:lvlJc w:val="left"/>
      <w:pPr>
        <w:ind w:left="2880" w:hanging="360"/>
      </w:pPr>
    </w:lvl>
    <w:lvl w:ilvl="4" w:tplc="76400F98">
      <w:start w:val="1"/>
      <w:numFmt w:val="bullet"/>
      <w:lvlText w:val="○"/>
      <w:lvlJc w:val="left"/>
      <w:pPr>
        <w:ind w:left="3600" w:hanging="360"/>
      </w:pPr>
    </w:lvl>
    <w:lvl w:ilvl="5" w:tplc="B9826A50">
      <w:start w:val="1"/>
      <w:numFmt w:val="bullet"/>
      <w:lvlText w:val="■"/>
      <w:lvlJc w:val="left"/>
      <w:pPr>
        <w:ind w:left="4320" w:hanging="360"/>
      </w:pPr>
    </w:lvl>
    <w:lvl w:ilvl="6" w:tplc="0CFA2956">
      <w:start w:val="1"/>
      <w:numFmt w:val="bullet"/>
      <w:lvlText w:val="●"/>
      <w:lvlJc w:val="left"/>
      <w:pPr>
        <w:ind w:left="5040" w:hanging="360"/>
      </w:pPr>
    </w:lvl>
    <w:lvl w:ilvl="7" w:tplc="5086AFE6">
      <w:start w:val="1"/>
      <w:numFmt w:val="bullet"/>
      <w:lvlText w:val="●"/>
      <w:lvlJc w:val="left"/>
      <w:pPr>
        <w:ind w:left="5760" w:hanging="360"/>
      </w:pPr>
    </w:lvl>
    <w:lvl w:ilvl="8" w:tplc="93606268">
      <w:start w:val="1"/>
      <w:numFmt w:val="bullet"/>
      <w:lvlText w:val="●"/>
      <w:lvlJc w:val="left"/>
      <w:pPr>
        <w:ind w:left="6480" w:hanging="360"/>
      </w:pPr>
    </w:lvl>
  </w:abstractNum>
  <w:num w:numId="1" w16cid:durableId="5572060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3"/>
    <w:rsid w:val="0010160F"/>
    <w:rsid w:val="00252950"/>
    <w:rsid w:val="007F48A3"/>
    <w:rsid w:val="00E762E0"/>
    <w:rsid w:val="00F6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37264"/>
  <w15:docId w15:val="{656CE134-DB7A-6849-8036-365C828C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1"/>
        <w:szCs w:val="21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2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BHRIGU JAIN</cp:lastModifiedBy>
  <cp:revision>3</cp:revision>
  <dcterms:created xsi:type="dcterms:W3CDTF">2026-06-24T10:36:00Z</dcterms:created>
  <dcterms:modified xsi:type="dcterms:W3CDTF">2026-07-01T07:47:00Z</dcterms:modified>
</cp:coreProperties>
</file>