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F60"/>
          <w:sz w:val="30"/>
        </w:rPr>
        <w:t>Additional file 5. Supplementary tables and figures</w:t>
      </w:r>
    </w:p>
    <w:p>
      <w:pPr>
        <w:jc w:val="center"/>
      </w:pPr>
      <w:r>
        <w:rPr>
          <w:i/>
          <w:sz w:val="20"/>
        </w:rPr>
        <w:t>Complementary detail for the scoping review "Metacognition-related education in medical residency"</w:t>
      </w:r>
    </w:p>
    <w:p/>
    <w:p>
      <w:pPr>
        <w:spacing w:line="276" w:lineRule="auto"/>
      </w:pPr>
      <w:r>
        <w:rPr>
          <w:b w:val="0"/>
          <w:i w:val="0"/>
        </w:rPr>
        <w:t>This appendix contains: (1) three supplementary frequency tables (ST1-ST3) providing the exact counts by medical specialty, study design and country of origin summarised narratively in the main manuscript; and (2) five supplementary figures (S1-S5) visualising temporal distribution, tier stratification and the same frequency distributions.</w:t>
      </w:r>
    </w:p>
    <w:p/>
    <w:p>
      <w:pPr>
        <w:pStyle w:val="Heading2"/>
      </w:pPr>
      <w:r>
        <w:rPr>
          <w:rFonts w:ascii="Calibri" w:hAnsi="Calibri"/>
          <w:color w:val="1F3F60"/>
        </w:rPr>
        <w:t>Supplementary Table ST1. Distribution by medical specialty</w:t>
      </w:r>
    </w:p>
    <w:p>
      <w:r>
        <w:rPr>
          <w:b w:val="0"/>
          <w:i/>
          <w:sz w:val="20"/>
        </w:rPr>
        <w:t>Frequency and percentage of the 92 included studies by medical specialty. Categories follow the coding dictionary (Table 1 of the main manuscript).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4819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Specialty</w:t>
            </w:r>
          </w:p>
        </w:tc>
        <w:tc>
          <w:tcPr>
            <w:tcW w:type="dxa" w:w="1701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# Studies</w:t>
            </w:r>
          </w:p>
        </w:tc>
        <w:tc>
          <w:tcPr>
            <w:tcW w:type="dxa" w:w="1701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Internal Medicine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34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37.0%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Pediatrics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10.9%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Family Medicine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8.7%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Emergency Medicine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7.6%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Surgery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7.6%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Anesthesiology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6.5%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Obstetrics and Gynecology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5.4%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Radiology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4.3%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Multiple specialties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3.3%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Neurology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Pathology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Otolaryngology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Not classifiable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Geriatrics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Psychiatry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Critical Care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1F3F60"/>
        </w:rPr>
        <w:t>Supplementary Table ST2. Distribution by study design</w:t>
      </w:r>
    </w:p>
    <w:p>
      <w:r>
        <w:rPr>
          <w:b w:val="0"/>
          <w:i/>
          <w:sz w:val="20"/>
        </w:rPr>
        <w:t>Frequency and percentage of the 92 included studies by study design (normalised to standard taxonomy per Table 1 coding dictionary; cluster RCTs grouped with RCT).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4819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Study design</w:t>
            </w:r>
          </w:p>
        </w:tc>
        <w:tc>
          <w:tcPr>
            <w:tcW w:type="dxa" w:w="1701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# Studies</w:t>
            </w:r>
          </w:p>
        </w:tc>
        <w:tc>
          <w:tcPr>
            <w:tcW w:type="dxa" w:w="1701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Mixed-methods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15.2%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Qualitative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14.1%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RCT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14.1%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Cross-sectional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10.9%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Pre-post (no control)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9.8%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Educational innovation report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6.5%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Quasi-experimental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5.4%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Pilot/feasibility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4.3%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Cohort (prospective)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3.3%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Cohort (retrospective)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Experimental (between-groups)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Case series/report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Case-control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Observational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Descriptive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Pre-post (with follow-up)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Experimental within-subject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4819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Psychometric/validation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1F3F60"/>
        </w:rPr>
        <w:t>Supplementary Table ST3. Geographic distribution</w:t>
      </w:r>
    </w:p>
    <w:p>
      <w:r>
        <w:rPr>
          <w:b w:val="0"/>
          <w:i/>
          <w:sz w:val="20"/>
        </w:rPr>
        <w:t>Frequency and percentage of the 92 included studies by country of origin.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685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Country</w:t>
            </w:r>
          </w:p>
        </w:tc>
        <w:tc>
          <w:tcPr>
            <w:tcW w:type="dxa" w:w="1701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# Studies</w:t>
            </w:r>
          </w:p>
        </w:tc>
        <w:tc>
          <w:tcPr>
            <w:tcW w:type="dxa" w:w="1701"/>
            <w:vAlign w:val="top"/>
            <w:shd w:val="clear" w:color="auto" w:fill="305496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USA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51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55.4%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Canada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18.5%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Netherlands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6.5%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France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4.3%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UK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4.3%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Denmark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2.2%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Singapore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South Korea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China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Germany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Philippines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Australia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Ireland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  <w:tr>
        <w:tc>
          <w:tcPr>
            <w:tcW w:type="dxa" w:w="3685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India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1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20"/>
              </w:rPr>
              <w:t>1.1%</w:t>
            </w:r>
          </w:p>
        </w:tc>
      </w:tr>
    </w:tbl>
    <w:p/>
    <w:p>
      <w:r>
        <w:br w:type="page"/>
      </w:r>
    </w:p>
    <w:p>
      <w:pPr>
        <w:pStyle w:val="Heading2"/>
      </w:pPr>
      <w:r>
        <w:rPr>
          <w:rFonts w:ascii="Calibri" w:hAnsi="Calibri"/>
          <w:color w:val="1F3F60"/>
        </w:rPr>
        <w:t>Supplementary Figure S1. Temporal distribution of included studies</w:t>
      </w:r>
    </w:p>
    <w:p>
      <w:r>
        <w:rPr>
          <w:b w:val="0"/>
          <w:i/>
          <w:sz w:val="20"/>
        </w:rPr>
        <w:t>Number of included studies by year of publication (n = 92).</w:t>
      </w:r>
    </w:p>
    <w:p>
      <w:r>
        <w:drawing>
          <wp:inline xmlns:a="http://schemas.openxmlformats.org/drawingml/2006/main" xmlns:pic="http://schemas.openxmlformats.org/drawingml/2006/picture">
            <wp:extent cx="5580000" cy="25033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_Years_v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0332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rPr>
          <w:rFonts w:ascii="Calibri" w:hAnsi="Calibri"/>
          <w:color w:val="1F3F60"/>
        </w:rPr>
        <w:t>Supplementary Figure S2. Tier stratification</w:t>
      </w:r>
    </w:p>
    <w:p>
      <w:r>
        <w:rPr>
          <w:b w:val="0"/>
          <w:i/>
          <w:sz w:val="20"/>
        </w:rPr>
        <w:t>Distribution of included studies by inclusion tier: Tier 1 = at least one core metacognitive concept present; Tier 2 = no core concept but multiple (&gt;=3) adjacent concepts present.</w:t>
      </w:r>
    </w:p>
    <w:p>
      <w:r>
        <w:drawing>
          <wp:inline xmlns:a="http://schemas.openxmlformats.org/drawingml/2006/main" xmlns:pic="http://schemas.openxmlformats.org/drawingml/2006/picture">
            <wp:extent cx="3600000" cy="36165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4_Tier_v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1650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rPr>
          <w:rFonts w:ascii="Calibri" w:hAnsi="Calibri"/>
          <w:color w:val="1F3F60"/>
        </w:rPr>
        <w:t>Supplementary Figure S3. Distribution by medical specialty</w:t>
      </w:r>
    </w:p>
    <w:p>
      <w:r>
        <w:rPr>
          <w:b w:val="0"/>
          <w:i/>
          <w:sz w:val="20"/>
        </w:rPr>
        <w:t>Visualisation of Supplementary Table ST1.</w:t>
      </w:r>
    </w:p>
    <w:p>
      <w:r>
        <w:drawing>
          <wp:inline xmlns:a="http://schemas.openxmlformats.org/drawingml/2006/main" xmlns:pic="http://schemas.openxmlformats.org/drawingml/2006/picture">
            <wp:extent cx="5580000" cy="35271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5_Specialty_v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2717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rPr>
          <w:rFonts w:ascii="Calibri" w:hAnsi="Calibri"/>
          <w:color w:val="1F3F60"/>
        </w:rPr>
        <w:t>Supplementary Figure S4. Distribution by study design</w:t>
      </w:r>
    </w:p>
    <w:p>
      <w:r>
        <w:rPr>
          <w:b w:val="0"/>
          <w:i/>
          <w:sz w:val="20"/>
        </w:rPr>
        <w:t>Visualisation of Supplementary Table ST2. RCT includes cluster RCTs.</w:t>
      </w:r>
    </w:p>
    <w:p>
      <w:r>
        <w:drawing>
          <wp:inline xmlns:a="http://schemas.openxmlformats.org/drawingml/2006/main" xmlns:pic="http://schemas.openxmlformats.org/drawingml/2006/picture">
            <wp:extent cx="5580000" cy="40409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6_Design_Distribu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040955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2"/>
      </w:pPr>
      <w:r>
        <w:rPr>
          <w:rFonts w:ascii="Calibri" w:hAnsi="Calibri"/>
          <w:color w:val="1F3F60"/>
        </w:rPr>
        <w:t>Supplementary Figure S5. Geographic distribution</w:t>
      </w:r>
    </w:p>
    <w:p>
      <w:r>
        <w:rPr>
          <w:b w:val="0"/>
          <w:i/>
          <w:sz w:val="20"/>
        </w:rPr>
        <w:t>Visualisation of Supplementary Table ST3.</w:t>
      </w:r>
    </w:p>
    <w:p>
      <w:r>
        <w:drawing>
          <wp:inline xmlns:a="http://schemas.openxmlformats.org/drawingml/2006/main" xmlns:pic="http://schemas.openxmlformats.org/drawingml/2006/picture">
            <wp:extent cx="5580000" cy="352879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_Country_v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287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 w:val="0"/>
          <w:i/>
          <w:sz w:val="20"/>
        </w:rPr>
        <w:t>— End of Additional file 5 —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