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272A2" w14:textId="77777777" w:rsidR="00924835" w:rsidRDefault="00000000">
      <w:pPr>
        <w:jc w:val="center"/>
      </w:pPr>
      <w:r>
        <w:rPr>
          <w:b/>
          <w:sz w:val="28"/>
        </w:rPr>
        <w:t>Supplementary Information</w:t>
      </w:r>
    </w:p>
    <w:p w14:paraId="16A4A598" w14:textId="77777777" w:rsidR="00924835" w:rsidRDefault="00000000">
      <w:pPr>
        <w:jc w:val="center"/>
      </w:pPr>
      <w:r>
        <w:rPr>
          <w:b/>
        </w:rPr>
        <w:t>Explainable machine learning for clinical phenotyping and mortality prediction in critically ill patients with cancer</w:t>
      </w:r>
    </w:p>
    <w:p w14:paraId="45716B8B" w14:textId="77777777" w:rsidR="00924835" w:rsidRDefault="00000000">
      <w:pPr>
        <w:jc w:val="center"/>
      </w:pPr>
      <w:r>
        <w:t>Yuanyuan Zhang, Haiqing Wang</w:t>
      </w:r>
    </w:p>
    <w:p w14:paraId="2B379D99" w14:textId="77777777" w:rsidR="00924835" w:rsidRDefault="00000000">
      <w:pPr>
        <w:spacing w:before="240"/>
      </w:pPr>
      <w:r>
        <w:rPr>
          <w:b/>
        </w:rPr>
        <w:t>Supplementary Figure Legends</w:t>
      </w:r>
    </w:p>
    <w:p w14:paraId="0FA5B1DB" w14:textId="77777777" w:rsidR="00924835" w:rsidRDefault="00000000">
      <w:r>
        <w:rPr>
          <w:b/>
        </w:rPr>
        <w:t>Supplementary Fig. S1. Standardized feature profiles of the four clinical phenotypes.</w:t>
      </w:r>
    </w:p>
    <w:p w14:paraId="09D83B64" w14:textId="77777777" w:rsidR="00F22612" w:rsidRDefault="00F22612" w:rsidP="00F22612">
      <w:r>
        <w:t>Supplementary Fig. S1. Standardized feature profiles of the four clinical phenotypes.</w:t>
      </w:r>
    </w:p>
    <w:p w14:paraId="62A4C5AB" w14:textId="757DC001" w:rsidR="00924835" w:rsidRDefault="00F22612" w:rsidP="00F22612">
      <w:r>
        <w:t xml:space="preserve">Heatmaps show Z-score–standardized clinical features across the four phenotypes in the MIMIC-IV derivation cohort and the </w:t>
      </w:r>
      <w:proofErr w:type="spellStart"/>
      <w:r>
        <w:t>eICU</w:t>
      </w:r>
      <w:proofErr w:type="spellEnd"/>
      <w:r>
        <w:t xml:space="preserve"> external validation cohort. (A) MIMIC-IV derivation cohort. (B) </w:t>
      </w:r>
      <w:proofErr w:type="spellStart"/>
      <w:r>
        <w:t>eICU</w:t>
      </w:r>
      <w:proofErr w:type="spellEnd"/>
      <w:r>
        <w:t xml:space="preserve"> external validation cohort. Warmer colors indicate higher standardized values, whereas cooler colors indicate lower standardized values. C0–C3 denote phenotypes ordered by increasing in-hospital mortality risk</w:t>
      </w:r>
      <w:r w:rsidR="00000000">
        <w:t>.</w:t>
      </w:r>
    </w:p>
    <w:p w14:paraId="66402A47" w14:textId="77777777" w:rsidR="00924835" w:rsidRDefault="00000000">
      <w:r>
        <w:rPr>
          <w:b/>
        </w:rPr>
        <w:t>Supplementary Fig. S2. Detailed clinical outcomes and resource utilization across the four phenotypes.</w:t>
      </w:r>
    </w:p>
    <w:p w14:paraId="46A2DAFB" w14:textId="79958D04" w:rsidR="00924835" w:rsidRDefault="00F22612">
      <w:r w:rsidRPr="00F22612">
        <w:t xml:space="preserve">The figure shows ICU resource utilization across the four phenotypes in the MIMIC-IV and </w:t>
      </w:r>
      <w:proofErr w:type="spellStart"/>
      <w:r w:rsidRPr="00F22612">
        <w:t>eICU</w:t>
      </w:r>
      <w:proofErr w:type="spellEnd"/>
      <w:r w:rsidRPr="00F22612">
        <w:t xml:space="preserve"> cohorts. (A–C) Mechanical ventilation, vasopressor use, and ICU length of stay in the MIMIC-IV derivation cohort. (D–F) Mechanical ventilation, vasopressor use, and ICU length of stay in the </w:t>
      </w:r>
      <w:proofErr w:type="spellStart"/>
      <w:r w:rsidRPr="00F22612">
        <w:t>eICU</w:t>
      </w:r>
      <w:proofErr w:type="spellEnd"/>
      <w:r w:rsidRPr="00F22612">
        <w:t xml:space="preserve"> external validation cohort. C0–C3 denote phenotypes ordered by increasing in-hospital mortality risk. ICU, intensive care unit; </w:t>
      </w:r>
      <w:proofErr w:type="spellStart"/>
      <w:r w:rsidRPr="00F22612">
        <w:t>eICU</w:t>
      </w:r>
      <w:proofErr w:type="spellEnd"/>
      <w:r w:rsidRPr="00F22612">
        <w:t xml:space="preserve">, </w:t>
      </w:r>
      <w:proofErr w:type="spellStart"/>
      <w:r w:rsidRPr="00F22612">
        <w:t>eICU</w:t>
      </w:r>
      <w:proofErr w:type="spellEnd"/>
      <w:r w:rsidRPr="00F22612">
        <w:t xml:space="preserve"> Collaborative Research Database.</w:t>
      </w:r>
    </w:p>
    <w:sectPr w:rsidR="00924835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0997986">
    <w:abstractNumId w:val="8"/>
  </w:num>
  <w:num w:numId="2" w16cid:durableId="183901763">
    <w:abstractNumId w:val="6"/>
  </w:num>
  <w:num w:numId="3" w16cid:durableId="1192301645">
    <w:abstractNumId w:val="5"/>
  </w:num>
  <w:num w:numId="4" w16cid:durableId="2141603463">
    <w:abstractNumId w:val="4"/>
  </w:num>
  <w:num w:numId="5" w16cid:durableId="264850409">
    <w:abstractNumId w:val="7"/>
  </w:num>
  <w:num w:numId="6" w16cid:durableId="2095974804">
    <w:abstractNumId w:val="3"/>
  </w:num>
  <w:num w:numId="7" w16cid:durableId="161899910">
    <w:abstractNumId w:val="2"/>
  </w:num>
  <w:num w:numId="8" w16cid:durableId="937106623">
    <w:abstractNumId w:val="1"/>
  </w:num>
  <w:num w:numId="9" w16cid:durableId="1944341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70031"/>
    <w:rsid w:val="00924835"/>
    <w:rsid w:val="00AA1D8D"/>
    <w:rsid w:val="00B47730"/>
    <w:rsid w:val="00CB0664"/>
    <w:rsid w:val="00F2261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081F5E"/>
  <w14:defaultImageDpi w14:val="300"/>
  <w15:docId w15:val="{77FF274D-C6EE-4C70-8606-6BE05E48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28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1173</Characters>
  <Application>Microsoft Office Word</Application>
  <DocSecurity>0</DocSecurity>
  <Lines>18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ke yang</cp:lastModifiedBy>
  <cp:revision>2</cp:revision>
  <dcterms:created xsi:type="dcterms:W3CDTF">2013-12-23T23:15:00Z</dcterms:created>
  <dcterms:modified xsi:type="dcterms:W3CDTF">2026-07-01T09:56:00Z</dcterms:modified>
  <cp:category/>
</cp:coreProperties>
</file>