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E4BF2" w14:textId="77777777" w:rsidR="0068043E" w:rsidRDefault="0068043E" w:rsidP="0068043E">
      <w:pPr>
        <w:jc w:val="center"/>
      </w:pPr>
      <w:r>
        <w:rPr>
          <w:noProof/>
        </w:rPr>
        <w:drawing>
          <wp:inline distT="0" distB="0" distL="0" distR="0" wp14:anchorId="37943C6F" wp14:editId="4CDF4850">
            <wp:extent cx="5848538" cy="4022090"/>
            <wp:effectExtent l="0" t="0" r="635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1195" cy="406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4655F" w14:textId="77777777" w:rsidR="0068043E" w:rsidRDefault="0068043E" w:rsidP="0068043E">
      <w:pPr>
        <w:spacing w:after="160" w:line="240" w:lineRule="auto"/>
        <w:contextualSpacing/>
        <w:jc w:val="both"/>
        <w:rPr>
          <w:bCs/>
          <w:sz w:val="28"/>
          <w:szCs w:val="28"/>
          <w:lang w:val="uk-UA"/>
        </w:rPr>
      </w:pPr>
      <w:r w:rsidRPr="00206BA0">
        <w:rPr>
          <w:bCs/>
          <w:sz w:val="28"/>
          <w:szCs w:val="28"/>
        </w:rPr>
        <w:t xml:space="preserve">Supplementary Figure S1. Exploratory Pearson correlation matrix of clinical and anesthesiological variables. </w:t>
      </w:r>
    </w:p>
    <w:p w14:paraId="45F1D1EA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3E"/>
    <w:rsid w:val="005B6877"/>
    <w:rsid w:val="0068043E"/>
    <w:rsid w:val="007F675A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1B4CE"/>
  <w15:chartTrackingRefBased/>
  <w15:docId w15:val="{B86F28F0-8444-4ED2-8AD0-E2F7B51B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43E"/>
    <w:pPr>
      <w:spacing w:after="200" w:line="276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4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4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43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43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43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43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43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43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43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4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4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4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4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4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4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0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43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0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43E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04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43E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04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4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4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2026-09-01T12:44:00Z</dcterms:created>
  <dcterms:modified xsi:type="dcterms:W3CDTF">2026-09-01T12:44:00Z</dcterms:modified>
</cp:coreProperties>
</file>