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CE67" w14:textId="77777777" w:rsidR="00D471F2" w:rsidRPr="0033631C" w:rsidRDefault="00D471F2" w:rsidP="00D471F2">
      <w:pPr>
        <w:spacing w:line="480" w:lineRule="auto"/>
        <w:rPr>
          <w:b/>
          <w:bCs/>
          <w:color w:val="000000" w:themeColor="text1"/>
          <w:sz w:val="36"/>
          <w:szCs w:val="36"/>
        </w:rPr>
      </w:pPr>
      <w:r w:rsidRPr="0033631C">
        <w:rPr>
          <w:b/>
          <w:bCs/>
          <w:color w:val="000000" w:themeColor="text1"/>
          <w:sz w:val="36"/>
          <w:szCs w:val="36"/>
        </w:rPr>
        <w:t>Additional information</w:t>
      </w:r>
    </w:p>
    <w:p w14:paraId="69622686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  <w:r w:rsidRPr="0033631C">
        <w:rPr>
          <w:b/>
          <w:bCs/>
          <w:color w:val="000000" w:themeColor="text1"/>
          <w:sz w:val="21"/>
          <w:szCs w:val="21"/>
        </w:rPr>
        <w:t>Additional Table S1. Summary of tick collection data.</w:t>
      </w:r>
      <w:r w:rsidRPr="0033631C">
        <w:rPr>
          <w:color w:val="000000" w:themeColor="text1"/>
          <w:sz w:val="21"/>
          <w:szCs w:val="21"/>
        </w:rPr>
        <w:t xml:space="preserve"> </w:t>
      </w:r>
    </w:p>
    <w:p w14:paraId="756CD791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</w:p>
    <w:p w14:paraId="6B96BD4D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  <w:r w:rsidRPr="0033631C">
        <w:rPr>
          <w:b/>
          <w:bCs/>
          <w:color w:val="000000" w:themeColor="text1"/>
          <w:sz w:val="21"/>
          <w:szCs w:val="21"/>
        </w:rPr>
        <w:t xml:space="preserve">Additional Table S2. </w:t>
      </w:r>
      <w:r w:rsidRPr="0033631C">
        <w:rPr>
          <w:rFonts w:eastAsia="MS Mincho"/>
          <w:b/>
          <w:bCs/>
          <w:color w:val="000000" w:themeColor="text1"/>
          <w:sz w:val="21"/>
          <w:szCs w:val="21"/>
        </w:rPr>
        <w:t>Performance metrics of the initial full models</w:t>
      </w:r>
      <w:r w:rsidRPr="0033631C">
        <w:rPr>
          <w:b/>
          <w:bCs/>
          <w:color w:val="000000" w:themeColor="text1"/>
          <w:sz w:val="21"/>
          <w:szCs w:val="21"/>
        </w:rPr>
        <w:t>.</w:t>
      </w:r>
    </w:p>
    <w:p w14:paraId="10E914E8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</w:p>
    <w:p w14:paraId="58D3CB57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  <w:r w:rsidRPr="0033631C">
        <w:rPr>
          <w:b/>
          <w:bCs/>
          <w:color w:val="000000" w:themeColor="text1"/>
          <w:sz w:val="21"/>
          <w:szCs w:val="21"/>
        </w:rPr>
        <w:t>Additional Figure S1. Occurrence of notifiable tick-borne diseases and population size at the prefectural level.</w:t>
      </w:r>
      <w:r w:rsidRPr="0033631C">
        <w:rPr>
          <w:color w:val="000000" w:themeColor="text1"/>
          <w:sz w:val="21"/>
          <w:szCs w:val="21"/>
        </w:rPr>
        <w:t xml:space="preserve"> </w:t>
      </w:r>
      <w:r w:rsidRPr="0033631C">
        <w:rPr>
          <w:rFonts w:eastAsia="MS Gothic"/>
          <w:color w:val="000000" w:themeColor="text1"/>
          <w:sz w:val="21"/>
          <w:szCs w:val="21"/>
        </w:rPr>
        <w:t>The number of reported cases of SFTS, TBE, JSF, LD, and RF from 2013 to 2025 (https://id-info.jihs.go.jp/surveillance/idwr/idwr/index.html, accessed February 9, 2026) and population size in 2020 (</w:t>
      </w:r>
      <w:hyperlink r:id="rId4" w:history="1">
        <w:r w:rsidRPr="0033631C">
          <w:rPr>
            <w:rStyle w:val="Hyperlink"/>
            <w:rFonts w:eastAsia="MS Gothic"/>
            <w:sz w:val="21"/>
            <w:szCs w:val="21"/>
          </w:rPr>
          <w:t>https://www.e-stat.go.jp/dbview?sid=0003445078</w:t>
        </w:r>
      </w:hyperlink>
      <w:r w:rsidRPr="0033631C">
        <w:rPr>
          <w:rFonts w:eastAsia="MS Gothic"/>
          <w:color w:val="000000" w:themeColor="text1"/>
          <w:sz w:val="21"/>
          <w:szCs w:val="21"/>
        </w:rPr>
        <w:t>, accessed February 9, 2026) are mapped at the prefectural level</w:t>
      </w:r>
      <w:r w:rsidRPr="0033631C">
        <w:rPr>
          <w:color w:val="000000" w:themeColor="text1"/>
          <w:sz w:val="21"/>
          <w:szCs w:val="21"/>
        </w:rPr>
        <w:t>. Prefectural boundaries are indicated by grey lines</w:t>
      </w:r>
      <w:r w:rsidRPr="0033631C">
        <w:rPr>
          <w:rFonts w:eastAsia="MS Mincho" w:cs="MS Mincho"/>
          <w:color w:val="000000" w:themeColor="text1"/>
          <w:sz w:val="21"/>
          <w:szCs w:val="21"/>
        </w:rPr>
        <w:t>.</w:t>
      </w:r>
    </w:p>
    <w:p w14:paraId="502CB83F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</w:p>
    <w:p w14:paraId="5EA53B73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  <w:r w:rsidRPr="0033631C">
        <w:rPr>
          <w:b/>
          <w:bCs/>
          <w:color w:val="000000" w:themeColor="text1"/>
          <w:sz w:val="21"/>
          <w:szCs w:val="21"/>
        </w:rPr>
        <w:t>Additional Figure S2. Response curves of the final models.</w:t>
      </w:r>
      <w:r w:rsidRPr="0033631C">
        <w:rPr>
          <w:color w:val="000000" w:themeColor="text1"/>
          <w:sz w:val="21"/>
          <w:szCs w:val="21"/>
        </w:rPr>
        <w:t xml:space="preserve"> </w:t>
      </w:r>
    </w:p>
    <w:p w14:paraId="03E6A092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</w:p>
    <w:p w14:paraId="41AAA2D5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  <w:r w:rsidRPr="0033631C">
        <w:rPr>
          <w:b/>
          <w:bCs/>
          <w:color w:val="000000" w:themeColor="text1"/>
          <w:sz w:val="21"/>
          <w:szCs w:val="21"/>
        </w:rPr>
        <w:t>Additional Figure S3. Binary potential distribution maps of 16 major tick species in Japan.</w:t>
      </w:r>
      <w:r w:rsidRPr="0033631C">
        <w:rPr>
          <w:color w:val="000000" w:themeColor="text1"/>
          <w:sz w:val="21"/>
          <w:szCs w:val="21"/>
        </w:rPr>
        <w:t xml:space="preserve"> The predicted habitat suitability</w:t>
      </w:r>
      <w:r w:rsidRPr="0033631C">
        <w:rPr>
          <w:rFonts w:eastAsia="MS Gothic"/>
          <w:color w:val="000000" w:themeColor="text1"/>
          <w:sz w:val="21"/>
          <w:szCs w:val="21"/>
        </w:rPr>
        <w:t xml:space="preserve"> (Fig. 3) was </w:t>
      </w:r>
      <w:r w:rsidRPr="0033631C">
        <w:rPr>
          <w:color w:val="000000" w:themeColor="text1"/>
          <w:sz w:val="21"/>
          <w:szCs w:val="21"/>
        </w:rPr>
        <w:t xml:space="preserve">converted to binary </w:t>
      </w:r>
      <w:r w:rsidRPr="0033631C">
        <w:rPr>
          <w:rFonts w:eastAsia="MS Gothic"/>
          <w:color w:val="000000" w:themeColor="text1"/>
          <w:sz w:val="21"/>
          <w:szCs w:val="21"/>
        </w:rPr>
        <w:t>format (presence or absence) using the mean threshold that maximized the TSS.</w:t>
      </w:r>
    </w:p>
    <w:p w14:paraId="4A359C25" w14:textId="77777777" w:rsidR="00D471F2" w:rsidRPr="0033631C" w:rsidRDefault="00D471F2" w:rsidP="00D471F2">
      <w:pPr>
        <w:spacing w:line="480" w:lineRule="auto"/>
        <w:rPr>
          <w:color w:val="000000" w:themeColor="text1"/>
          <w:sz w:val="21"/>
          <w:szCs w:val="21"/>
        </w:rPr>
      </w:pPr>
    </w:p>
    <w:p w14:paraId="05B41E52" w14:textId="77777777" w:rsidR="00D471F2" w:rsidRPr="0033631C" w:rsidRDefault="00D471F2" w:rsidP="00D471F2">
      <w:pPr>
        <w:spacing w:line="480" w:lineRule="auto"/>
        <w:rPr>
          <w:rFonts w:eastAsia="MS Gothic"/>
          <w:color w:val="000000" w:themeColor="text1"/>
          <w:sz w:val="21"/>
          <w:szCs w:val="21"/>
        </w:rPr>
      </w:pPr>
      <w:r w:rsidRPr="0033631C">
        <w:rPr>
          <w:b/>
          <w:bCs/>
          <w:color w:val="000000" w:themeColor="text1"/>
          <w:sz w:val="21"/>
          <w:szCs w:val="21"/>
        </w:rPr>
        <w:lastRenderedPageBreak/>
        <w:t>Additional Figure S4. Prefectural-level occupancy rates of 16 major tick species in Japan.</w:t>
      </w:r>
      <w:r w:rsidRPr="0033631C">
        <w:rPr>
          <w:color w:val="000000" w:themeColor="text1"/>
          <w:sz w:val="21"/>
          <w:szCs w:val="21"/>
        </w:rPr>
        <w:t xml:space="preserve"> The b</w:t>
      </w:r>
      <w:r w:rsidRPr="0033631C">
        <w:rPr>
          <w:rFonts w:eastAsia="MS Gothic"/>
          <w:color w:val="000000" w:themeColor="text1"/>
          <w:sz w:val="21"/>
          <w:szCs w:val="21"/>
        </w:rPr>
        <w:t>inary maps (Additional Figure S3) were converted to the occupancy rate for each prefecture: the occupancy rate was defined as the percentage of grids predicted as present out of the total number of grids in the prefecture.</w:t>
      </w:r>
    </w:p>
    <w:p w14:paraId="4C68BE5E" w14:textId="77777777" w:rsidR="00E023F9" w:rsidRDefault="00E023F9"/>
    <w:sectPr w:rsidR="00E023F9" w:rsidSect="00D471F2">
      <w:footerReference w:type="even" r:id="rId5"/>
      <w:footerReference w:type="default" r:id="rId6"/>
      <w:pgSz w:w="11900" w:h="16840"/>
      <w:pgMar w:top="1701" w:right="1701" w:bottom="1797" w:left="1701" w:header="851" w:footer="992" w:gutter="0"/>
      <w:lnNumType w:countBy="1" w:restart="continuous"/>
      <w:cols w:space="425"/>
      <w:docGrid w:type="linesAndChars" w:linePitch="327" w:charSpace="52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2473000"/>
      <w:docPartObj>
        <w:docPartGallery w:val="Page Numbers (Bottom of Page)"/>
        <w:docPartUnique/>
      </w:docPartObj>
    </w:sdtPr>
    <w:sdtContent>
      <w:p w14:paraId="69FBF253" w14:textId="77777777" w:rsidR="00D471F2" w:rsidRDefault="00D471F2" w:rsidP="00F55C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8C3F62" w14:textId="77777777" w:rsidR="00D471F2" w:rsidRDefault="00D47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872936"/>
      <w:docPartObj>
        <w:docPartGallery w:val="Page Numbers (Bottom of Page)"/>
        <w:docPartUnique/>
      </w:docPartObj>
    </w:sdtPr>
    <w:sdtContent>
      <w:p w14:paraId="499CC4AF" w14:textId="77777777" w:rsidR="00D471F2" w:rsidRPr="001E5C81" w:rsidRDefault="00D471F2" w:rsidP="00F55C8E">
        <w:pPr>
          <w:pStyle w:val="Footer"/>
          <w:framePr w:wrap="none" w:vAnchor="text" w:hAnchor="margin" w:xAlign="center" w:y="1"/>
          <w:rPr>
            <w:rStyle w:val="PageNumber"/>
          </w:rPr>
        </w:pPr>
        <w:r w:rsidRPr="001E5C81">
          <w:rPr>
            <w:rStyle w:val="PageNumber"/>
          </w:rPr>
          <w:fldChar w:fldCharType="begin"/>
        </w:r>
        <w:r w:rsidRPr="001E5C81">
          <w:rPr>
            <w:rStyle w:val="PageNumber"/>
          </w:rPr>
          <w:instrText xml:space="preserve"> PAGE </w:instrText>
        </w:r>
        <w:r w:rsidRPr="001E5C81">
          <w:rPr>
            <w:rStyle w:val="PageNumber"/>
          </w:rPr>
          <w:fldChar w:fldCharType="separate"/>
        </w:r>
        <w:r w:rsidRPr="001E5C81">
          <w:rPr>
            <w:rStyle w:val="PageNumber"/>
          </w:rPr>
          <w:t>1</w:t>
        </w:r>
        <w:r w:rsidRPr="001E5C81">
          <w:rPr>
            <w:rStyle w:val="PageNumber"/>
          </w:rPr>
          <w:fldChar w:fldCharType="end"/>
        </w:r>
      </w:p>
    </w:sdtContent>
  </w:sdt>
  <w:p w14:paraId="1E3259FF" w14:textId="77777777" w:rsidR="00D471F2" w:rsidRPr="001E5C81" w:rsidRDefault="00D471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F2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AE13DC"/>
    <w:rsid w:val="00B10170"/>
    <w:rsid w:val="00B260B7"/>
    <w:rsid w:val="00B85331"/>
    <w:rsid w:val="00C94D66"/>
    <w:rsid w:val="00D471F2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2CAE"/>
  <w15:chartTrackingRefBased/>
  <w15:docId w15:val="{652154FA-BB07-4120-94AC-3C37DCC5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F2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1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1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1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1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1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1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1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1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1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7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1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7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1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1F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71F2"/>
    <w:pPr>
      <w:tabs>
        <w:tab w:val="center" w:pos="4252"/>
        <w:tab w:val="right" w:pos="8504"/>
      </w:tabs>
      <w:snapToGrid w:val="0"/>
    </w:pPr>
    <w:rPr>
      <w:rFonts w:ascii="MS PGothic" w:eastAsia="MS PGothic" w:hAnsi="MS PGothic" w:cs="MS PGothic"/>
    </w:rPr>
  </w:style>
  <w:style w:type="character" w:customStyle="1" w:styleId="FooterChar">
    <w:name w:val="Footer Char"/>
    <w:basedOn w:val="DefaultParagraphFont"/>
    <w:link w:val="Footer"/>
    <w:uiPriority w:val="99"/>
    <w:rsid w:val="00D471F2"/>
    <w:rPr>
      <w:rFonts w:ascii="MS PGothic" w:eastAsia="MS PGothic" w:hAnsi="MS PGothic" w:cs="MS PGothic"/>
      <w:kern w:val="0"/>
      <w:lang w:val="en-US"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471F2"/>
  </w:style>
  <w:style w:type="character" w:styleId="LineNumber">
    <w:name w:val="line number"/>
    <w:basedOn w:val="DefaultParagraphFont"/>
    <w:uiPriority w:val="99"/>
    <w:semiHidden/>
    <w:unhideWhenUsed/>
    <w:rsid w:val="00D4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www.e-stat.go.jp/dbview?sid=000344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2026-07-15T08:27:00Z</dcterms:created>
  <dcterms:modified xsi:type="dcterms:W3CDTF">2026-07-15T08:27:00Z</dcterms:modified>
</cp:coreProperties>
</file>